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45" w:rsidRDefault="000D7145" w:rsidP="000D7145">
      <w:pPr>
        <w:adjustRightInd w:val="0"/>
        <w:snapToGrid w:val="0"/>
        <w:spacing w:line="3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0D7145" w:rsidRDefault="000D7145" w:rsidP="000D7145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华文中宋" w:hint="eastAsia"/>
          <w:sz w:val="40"/>
          <w:szCs w:val="36"/>
        </w:rPr>
      </w:pPr>
      <w:bookmarkStart w:id="0" w:name="_GoBack"/>
      <w:r>
        <w:rPr>
          <w:rFonts w:ascii="方正小标宋简体" w:eastAsia="方正小标宋简体" w:hAnsi="华文中宋" w:hint="eastAsia"/>
          <w:sz w:val="40"/>
          <w:szCs w:val="36"/>
        </w:rPr>
        <w:t>乐清市“绿色学校”考核标准</w:t>
      </w:r>
    </w:p>
    <w:bookmarkEnd w:id="0"/>
    <w:p w:rsidR="000D7145" w:rsidRDefault="000D7145" w:rsidP="000D7145">
      <w:pPr>
        <w:adjustRightInd w:val="0"/>
        <w:snapToGrid w:val="0"/>
        <w:spacing w:line="36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 xml:space="preserve"> </w:t>
      </w:r>
    </w:p>
    <w:p w:rsidR="000D7145" w:rsidRDefault="000D7145" w:rsidP="000D7145">
      <w:pPr>
        <w:adjustRightInd w:val="0"/>
        <w:snapToGrid w:val="0"/>
        <w:spacing w:line="320" w:lineRule="exact"/>
        <w:rPr>
          <w:rFonts w:ascii="仿宋_GB2312" w:eastAsia="仿宋_GB2312" w:hAnsi="宋体" w:hint="eastAsia"/>
          <w:bCs/>
          <w:sz w:val="24"/>
          <w:szCs w:val="28"/>
        </w:rPr>
      </w:pPr>
      <w:r>
        <w:rPr>
          <w:rFonts w:ascii="仿宋_GB2312" w:eastAsia="仿宋_GB2312" w:hAnsi="宋体" w:hint="eastAsia"/>
          <w:bCs/>
          <w:sz w:val="24"/>
          <w:szCs w:val="28"/>
        </w:rPr>
        <w:t>申报资格：1、申报绿色学校必须开展创建活动达一年以上。</w:t>
      </w:r>
    </w:p>
    <w:p w:rsidR="000D7145" w:rsidRDefault="000D7145" w:rsidP="000D7145">
      <w:pPr>
        <w:adjustRightInd w:val="0"/>
        <w:snapToGrid w:val="0"/>
        <w:spacing w:line="320" w:lineRule="exact"/>
        <w:ind w:firstLineChars="500" w:firstLine="1200"/>
        <w:rPr>
          <w:rFonts w:ascii="仿宋_GB2312" w:eastAsia="仿宋_GB2312" w:hAnsi="华文中宋" w:hint="eastAsia"/>
          <w:bCs/>
          <w:sz w:val="24"/>
          <w:szCs w:val="28"/>
        </w:rPr>
      </w:pPr>
      <w:r>
        <w:rPr>
          <w:rFonts w:ascii="仿宋_GB2312" w:eastAsia="仿宋_GB2312" w:hAnsi="宋体" w:hint="eastAsia"/>
          <w:bCs/>
          <w:sz w:val="24"/>
          <w:szCs w:val="28"/>
        </w:rPr>
        <w:t>2、两年内无环境责任事故和环境违法事件。</w:t>
      </w:r>
    </w:p>
    <w:tbl>
      <w:tblPr>
        <w:tblW w:w="109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1217"/>
        <w:gridCol w:w="5854"/>
        <w:gridCol w:w="1244"/>
        <w:gridCol w:w="746"/>
        <w:gridCol w:w="851"/>
      </w:tblGrid>
      <w:tr w:rsidR="000D7145" w:rsidTr="007230CB">
        <w:trPr>
          <w:trHeight w:val="354"/>
          <w:jc w:val="center"/>
        </w:trPr>
        <w:tc>
          <w:tcPr>
            <w:tcW w:w="22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项目指标</w:t>
            </w:r>
          </w:p>
        </w:tc>
        <w:tc>
          <w:tcPr>
            <w:tcW w:w="5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具   体   要   求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检查内容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分值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考评</w:t>
            </w:r>
          </w:p>
        </w:tc>
      </w:tr>
      <w:tr w:rsidR="000D7145" w:rsidTr="007230CB">
        <w:trPr>
          <w:trHeight w:val="1454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（一）</w:t>
            </w: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</w:t>
            </w: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</w:t>
            </w: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管</w:t>
            </w: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</w:t>
            </w: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（17分）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领导重视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ind w:left="245" w:hangingChars="102" w:hanging="24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1.建立“绿色学校”创建机构（3分），有1名校领导具体负责，有明确的分工和职责（2分）。</w:t>
            </w: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2.校长或分管领导参加过生态文明培训（0.5分），有关环境教育教师有定期参加环保培训（0.5分）。</w:t>
            </w: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3.有开展生态文明建设知识竞赛和生态满意度问卷调查活动并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保存台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账和汇总表，参与率达到90</w:t>
            </w:r>
            <w:r>
              <w:rPr>
                <w:rFonts w:ascii="宋体" w:hAnsi="宋体" w:cs="宋体" w:hint="eastAsia"/>
                <w:sz w:val="24"/>
              </w:rPr>
              <w:t>﹪以上</w:t>
            </w:r>
            <w:r>
              <w:rPr>
                <w:rFonts w:ascii="仿宋_GB2312" w:eastAsia="仿宋_GB2312" w:hAnsi="宋体" w:hint="eastAsia"/>
                <w:sz w:val="24"/>
              </w:rPr>
              <w:t>。（3分）</w:t>
            </w: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 对创建工作与环境教育有经费保证</w:t>
            </w:r>
            <w:r>
              <w:rPr>
                <w:rFonts w:ascii="仿宋_GB2312" w:eastAsia="仿宋_GB2312" w:hint="eastAsia"/>
                <w:sz w:val="24"/>
              </w:rPr>
              <w:t>（1分）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查看文件、证书、笔记、发票复印材料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7145" w:rsidTr="007230CB">
        <w:trPr>
          <w:trHeight w:val="496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制度健全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1.学校有环境保护规章制度（1分），有环保公约（1分）。</w:t>
            </w: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2.爱护公物制度、公共卫生制度、绿化制度健全（1分）。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查看文件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7145" w:rsidTr="007230CB">
        <w:trPr>
          <w:trHeight w:val="1570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落实有力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1.有创建“绿色学校”的计划和总结（1分），且在校工作计划中有创建“绿色学校”内容（1分）。</w:t>
            </w: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2.每个学期学校会议上有2次以上环境教育内容，有会议记录（1分）。</w:t>
            </w: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3.各科组将环境教育列入科组计划，包括近期创建和学期落实计划，有措施，有总结（1分）。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查看计划总结、会议记录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7145" w:rsidTr="007230CB">
        <w:trPr>
          <w:trHeight w:val="584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（二）</w:t>
            </w: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环</w:t>
            </w: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境</w:t>
            </w: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</w:t>
            </w: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育</w:t>
            </w: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（25分）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学科教育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1.各学科完成教材和课程标准要求的环境教育教学内容，在课堂渗透环境教育，有详细计划、教案及有关的资料，环境教育内容不重叠。（5分）</w:t>
            </w: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2.在学生作业及练习中有环境保护的内容。（2分）</w:t>
            </w: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ind w:left="120" w:hangingChars="50" w:hanging="1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3.每学期有1次以上校内环境教育观摩示范课。（2分）</w:t>
            </w: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4.开设环境教育选修课，有教材和教案，至少1个年级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段学生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接受环境教育，且学生课堂笔记完整，作业及时完成。（3分）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查看教材、教案、试卷、学生笔记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7145" w:rsidTr="007230CB">
        <w:trPr>
          <w:trHeight w:val="717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课外教育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1.成立有一定规模的环保社团或环境类兴趣小组并配备辅导教师。（3分）</w:t>
            </w: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2.每学年至少开展1次环境保护考察等实践活动（人数不少于2个班）。（3分）</w:t>
            </w:r>
          </w:p>
          <w:p w:rsidR="000D7145" w:rsidRDefault="000D7145" w:rsidP="007230CB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3.能组织学生开展包括校园在内的有关简易环境监测活动。（3分）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查看活动记录、学生考察报告、监测报告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7145" w:rsidTr="007230CB">
        <w:trPr>
          <w:trHeight w:val="629"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教研活动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1.定期开展有关环境教育教研活动，有专题性教研活动安排（2分），教师有环境教育方面的论文。（2分）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查看教研记录、论文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145" w:rsidRDefault="000D7145" w:rsidP="007230C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0D7145" w:rsidRDefault="000D7145" w:rsidP="000D7145">
      <w:pPr>
        <w:rPr>
          <w:rFonts w:eastAsia="仿宋_GB2312" w:hint="eastAsia"/>
          <w:sz w:val="32"/>
        </w:rPr>
      </w:pPr>
    </w:p>
    <w:p w:rsidR="000D7145" w:rsidRDefault="000D7145" w:rsidP="000D7145">
      <w:pPr>
        <w:rPr>
          <w:rFonts w:eastAsia="仿宋_GB2312" w:hint="eastAsia"/>
          <w:sz w:val="32"/>
        </w:rPr>
      </w:pPr>
    </w:p>
    <w:p w:rsidR="000D7145" w:rsidRDefault="000D7145" w:rsidP="000D7145">
      <w:pPr>
        <w:rPr>
          <w:rFonts w:eastAsia="仿宋_GB2312" w:hint="eastAsia"/>
          <w:sz w:val="32"/>
        </w:rPr>
      </w:pPr>
    </w:p>
    <w:tbl>
      <w:tblPr>
        <w:tblW w:w="108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1274"/>
        <w:gridCol w:w="5804"/>
        <w:gridCol w:w="1376"/>
        <w:gridCol w:w="708"/>
        <w:gridCol w:w="762"/>
      </w:tblGrid>
      <w:tr w:rsidR="000D7145" w:rsidTr="007230CB">
        <w:trPr>
          <w:trHeight w:val="430"/>
          <w:jc w:val="center"/>
        </w:trPr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lastRenderedPageBreak/>
              <w:t>项目指标</w:t>
            </w:r>
          </w:p>
        </w:tc>
        <w:tc>
          <w:tcPr>
            <w:tcW w:w="58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具   体   要   求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检查内容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分值</w:t>
            </w:r>
          </w:p>
        </w:tc>
        <w:tc>
          <w:tcPr>
            <w:tcW w:w="7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考评</w:t>
            </w:r>
          </w:p>
        </w:tc>
      </w:tr>
      <w:tr w:rsidR="000D7145" w:rsidTr="007230CB">
        <w:trPr>
          <w:trHeight w:val="1421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（三）</w:t>
            </w:r>
          </w:p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宣</w:t>
            </w:r>
          </w:p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</w:t>
            </w:r>
          </w:p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活</w:t>
            </w:r>
          </w:p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动</w:t>
            </w:r>
          </w:p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（23分）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主题活动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1.结合世界环境日、地球日、水日、无车日、植树节、爱鸟周、科普日等有关环保节日开展环保宣传教育活动。（5分）</w:t>
            </w:r>
          </w:p>
          <w:p w:rsidR="000D7145" w:rsidRDefault="000D7145" w:rsidP="007230CB">
            <w:pPr>
              <w:spacing w:line="28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2.每学年至少开展1次环保主题宣传活动，如环保演讲、征文、书画影展、知识竞赛等。（5分）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查看活动文件、记录、作品、统计结果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7145" w:rsidTr="007230CB">
        <w:trPr>
          <w:trHeight w:val="502"/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校园文化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1.学校宣传栏、文化走廊、墙报等要定期宣传环境知识。（3分）</w:t>
            </w:r>
          </w:p>
          <w:p w:rsidR="000D7145" w:rsidRDefault="000D7145" w:rsidP="007230CB">
            <w:pPr>
              <w:spacing w:line="280" w:lineRule="exact"/>
              <w:ind w:left="240" w:hangingChars="100" w:hanging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2.校内广播站、国旗下讲话有环保主题内容播出。（2分）</w:t>
            </w:r>
          </w:p>
          <w:p w:rsidR="000D7145" w:rsidRDefault="000D7145" w:rsidP="007230CB">
            <w:pPr>
              <w:spacing w:line="280" w:lineRule="exact"/>
              <w:ind w:left="240" w:hangingChars="100" w:hanging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3.图书馆、 阅览室有环保相关书籍、报刊杂志3种以上。（1分）</w:t>
            </w:r>
          </w:p>
          <w:p w:rsidR="000D7145" w:rsidRDefault="000D7145" w:rsidP="007230CB">
            <w:pPr>
              <w:spacing w:line="280" w:lineRule="exact"/>
              <w:ind w:left="240" w:hangingChars="100" w:hanging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4.每学期至少有一个年级刊出环保内容黑板报1期。（2分）</w:t>
            </w:r>
          </w:p>
          <w:p w:rsidR="000D7145" w:rsidRDefault="000D7145" w:rsidP="007230CB">
            <w:pPr>
              <w:spacing w:line="28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5.生态文明主题校报每学期至少出2期以上。（2分）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查看校报、讲话稿、广播稿、宣传栏、黑板报记录</w:t>
            </w:r>
          </w:p>
          <w:p w:rsidR="000D7145" w:rsidRDefault="000D7145" w:rsidP="007230C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现场查看图书馆、 阅览室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7145" w:rsidTr="007230CB">
        <w:trPr>
          <w:trHeight w:val="652"/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社区活动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每学年至少1次组织师生参加镇、街道、社区环保活动，义务向周围群众宣传环保知识。（3分）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查看通知文件、宣传资料、活动记录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7145" w:rsidTr="007230CB">
        <w:trPr>
          <w:trHeight w:val="763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（四）</w:t>
            </w:r>
          </w:p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</w:t>
            </w:r>
          </w:p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育</w:t>
            </w:r>
          </w:p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</w:t>
            </w:r>
          </w:p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果</w:t>
            </w:r>
          </w:p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（15分）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环境意识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1.教师和学生有良好的环境道德和素养，学校环境教育有一定的示范性和影响力，能通过学校家长会等活动，对家长进行环境保护宣传教育（2分）</w:t>
            </w:r>
          </w:p>
          <w:p w:rsidR="000D7145" w:rsidRDefault="000D7145" w:rsidP="007230CB">
            <w:pPr>
              <w:spacing w:line="280" w:lineRule="exact"/>
              <w:ind w:left="240" w:hangingChars="100" w:hanging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2.通过学生对家庭成员进行环保宣传，共同开展绿色家庭、文明庭院创建，节能低碳、绿色消费行动。（2分）</w:t>
            </w:r>
          </w:p>
          <w:p w:rsidR="000D7145" w:rsidRDefault="000D7145" w:rsidP="007230CB">
            <w:pPr>
              <w:spacing w:line="280" w:lineRule="exact"/>
              <w:ind w:left="240" w:hangingChars="100" w:hanging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3.教师和学生绿色学校创建活动参与程度高，对创建工作有普遍的了解，能够及时了解创建的动态信息。（2分）</w:t>
            </w:r>
          </w:p>
          <w:p w:rsidR="000D7145" w:rsidRDefault="000D7145" w:rsidP="007230CB">
            <w:pPr>
              <w:spacing w:line="28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4.每学期对教师、学生组织1次环保科普知识测试，并做统计汇总。将测试成绩纳入教师评先评优和学生评优的依据（2分）。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询问师生；查看公众参与性活动记录，试卷、统计材料、制度文件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7145" w:rsidTr="007230CB">
        <w:trPr>
          <w:trHeight w:val="687"/>
          <w:jc w:val="center"/>
        </w:trPr>
        <w:tc>
          <w:tcPr>
            <w:tcW w:w="9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环境行为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1.学生在校内外不吸烟、不乱丢、不乱倒、不乱吐、不乱画、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不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高声喧哗、不破坏绿化。（2分）</w:t>
            </w:r>
          </w:p>
          <w:p w:rsidR="000D7145" w:rsidRDefault="000D7145" w:rsidP="007230CB">
            <w:pPr>
              <w:spacing w:line="280" w:lineRule="exact"/>
              <w:ind w:left="240" w:hangingChars="100" w:hanging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2.师生在校内自觉节约资源、拒绝污染，不使用一次性筷子、饭盒、塑料袋，水龙头无滴水现象。（1分）</w:t>
            </w:r>
          </w:p>
          <w:p w:rsidR="000D7145" w:rsidRDefault="000D7145" w:rsidP="007230CB">
            <w:pPr>
              <w:spacing w:line="280" w:lineRule="exact"/>
              <w:ind w:left="240" w:hangingChars="100" w:hanging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3.学校开展垃圾分类收集处理，在垃圾减量、回收资源、节水、节电、节约纸张等方面措施有力，取得明显效果。（2分）</w:t>
            </w:r>
          </w:p>
          <w:p w:rsidR="000D7145" w:rsidRDefault="000D7145" w:rsidP="007230CB">
            <w:pPr>
              <w:spacing w:line="28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4.学生自觉维护校园环境，组织学生动手参与绿化、美化、净化校园劳动。（2分）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现场检查，查看措施、总结、劳动记录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145" w:rsidRDefault="000D7145" w:rsidP="007230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0D7145" w:rsidRDefault="000D7145" w:rsidP="000D7145">
      <w:pPr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</w:p>
    <w:p w:rsidR="000D7145" w:rsidRDefault="000D7145" w:rsidP="000D7145">
      <w:pPr>
        <w:rPr>
          <w:rFonts w:ascii="仿宋_GB2312" w:eastAsia="仿宋_GB2312"/>
          <w:sz w:val="32"/>
        </w:rPr>
      </w:pPr>
    </w:p>
    <w:tbl>
      <w:tblPr>
        <w:tblW w:w="107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5812"/>
        <w:gridCol w:w="1418"/>
        <w:gridCol w:w="708"/>
        <w:gridCol w:w="589"/>
      </w:tblGrid>
      <w:tr w:rsidR="000D7145" w:rsidTr="007230CB">
        <w:trPr>
          <w:trHeight w:val="1310"/>
          <w:jc w:val="center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（五）</w:t>
            </w:r>
          </w:p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</w:t>
            </w:r>
          </w:p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园</w:t>
            </w:r>
          </w:p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环</w:t>
            </w:r>
          </w:p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境</w:t>
            </w:r>
          </w:p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（20分）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环境整洁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1.教学区、生活区、活动区布局合理，校园环境优美，在校园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醒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目的地方有环境保护公约或永久性环保宣传牌。（3分）</w:t>
            </w:r>
          </w:p>
          <w:p w:rsidR="000D7145" w:rsidRDefault="000D7145" w:rsidP="007230CB">
            <w:pPr>
              <w:spacing w:line="24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2.校园可绿化面积绿化率达到85%以上，树木、花草有说明牌，无焚烧树叶、垃圾现象。（3分）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现场检查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7145" w:rsidTr="007230CB">
        <w:trPr>
          <w:trHeight w:val="1414"/>
          <w:jc w:val="center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卫生状况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1.校园洁净，教室整洁，校园道路平整，排水渠道畅通，无卫生死角，无乱堆放杂物，厕所干净无臭味。（3分）</w:t>
            </w:r>
          </w:p>
          <w:p w:rsidR="000D7145" w:rsidRDefault="000D7145" w:rsidP="007230CB">
            <w:pPr>
              <w:spacing w:line="24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2.学校销售的各种食品饮料及食堂饭菜安全可靠，符合卫生标准。（4分）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现场检查，查看食品采购保管记录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7145" w:rsidTr="007230CB">
        <w:trPr>
          <w:trHeight w:val="1707"/>
          <w:jc w:val="center"/>
        </w:trPr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污染控制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有效控制校园自身产生的污染源，生活污水、食堂油烟经过环保设施处理，定期对隔油池、化粪池进行维护并做好相关记录，有单独的雨污分流管网系统；生物、理化等实验室安装换气等处理设备。对有毒有害废物（实验室、医务室、文印室）要做到统一搜集、妥善处置，。（5分）</w:t>
            </w:r>
          </w:p>
          <w:p w:rsidR="000D7145" w:rsidRDefault="000D7145" w:rsidP="007230CB">
            <w:pPr>
              <w:spacing w:line="24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2.学校开展应付环境突发事件或应急安全教育，有相应的应急预案（2分）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现场检查，查看处置记录、预案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7145" w:rsidTr="007230CB">
        <w:trPr>
          <w:trHeight w:val="2853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（六）</w:t>
            </w:r>
          </w:p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附</w:t>
            </w:r>
          </w:p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加</w:t>
            </w:r>
          </w:p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分</w:t>
            </w:r>
          </w:p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（10分）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1.学生2年内在全国各类环境活动中获奖（3分）在全省各类环境活动中获奖（2分）在温州市各类环境活动中获奖（1分）乐清市级以上有关环境类竞赛，获团体前五名或个人前三名（1分）。（总分不得超3分）</w:t>
            </w:r>
          </w:p>
          <w:p w:rsidR="000D7145" w:rsidRDefault="000D7145" w:rsidP="007230CB">
            <w:pPr>
              <w:spacing w:line="24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2.教师论文、教案在2年内获全国环境教育奖项或在国家级专业刊物发表（3分）获省级环境教育奖项或在省级专业刊物发表（2分）获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温州市级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环境教育奖项或在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温州市级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专业刊物发表（1分）乐清市级以上有关环境类评比获一等奖（1分）。（总分不得超3分）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7145" w:rsidTr="007230CB">
        <w:trPr>
          <w:trHeight w:val="848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社会效应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1.面向全市展示环境教育公开课或主题活动。（1分）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7145" w:rsidTr="007230CB">
        <w:trPr>
          <w:trHeight w:val="854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特色加分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建立与当地教育、环保部门、新闻媒体、网络及社区的信息交流渠道，及时了解相关环境信息。及时采编成信息，上报乐清市环保局人教科（邮箱yqxjzx@163.com），宣传本校的绿色学校创建和环境教育成果。（2分）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7145" w:rsidTr="007230CB">
        <w:trPr>
          <w:trHeight w:val="737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档案管理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ind w:left="240" w:hangingChars="100" w:hanging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1.以电子档案结合纸质台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账进行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汇报和整理。（1分）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7145" w:rsidTr="007230CB">
        <w:trPr>
          <w:trHeight w:val="1253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  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numPr>
                <w:ilvl w:val="0"/>
                <w:numId w:val="1"/>
              </w:numPr>
              <w:spacing w:line="2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学校在开展环境教育中的文件、计划、总结、论文、教案、学生作业、试卷、活动记录、照片等有关资料收集要齐全并附有具体的日期、文字说明。</w:t>
            </w:r>
          </w:p>
          <w:p w:rsidR="000D7145" w:rsidRDefault="000D7145" w:rsidP="007230CB">
            <w:pPr>
              <w:numPr>
                <w:ilvl w:val="0"/>
                <w:numId w:val="1"/>
              </w:numPr>
              <w:spacing w:line="2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具体指标总分110分，评分总和要达到90分以上，即达到乐清市绿色学校标准。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145" w:rsidRDefault="000D7145" w:rsidP="007230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0D7145" w:rsidRDefault="000D7145" w:rsidP="000D7145">
      <w:pPr>
        <w:spacing w:line="560" w:lineRule="exact"/>
        <w:rPr>
          <w:rFonts w:ascii="黑体" w:eastAsia="黑体" w:hAnsi="黑体" w:hint="eastAsia"/>
          <w:sz w:val="30"/>
          <w:szCs w:val="30"/>
        </w:rPr>
      </w:pPr>
    </w:p>
    <w:p w:rsidR="0095144F" w:rsidRPr="000D7145" w:rsidRDefault="0095144F"/>
    <w:sectPr w:rsidR="0095144F" w:rsidRPr="000D7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03" w:rsidRDefault="002C3403" w:rsidP="000D7145">
      <w:r>
        <w:separator/>
      </w:r>
    </w:p>
  </w:endnote>
  <w:endnote w:type="continuationSeparator" w:id="0">
    <w:p w:rsidR="002C3403" w:rsidRDefault="002C3403" w:rsidP="000D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03" w:rsidRDefault="002C3403" w:rsidP="000D7145">
      <w:r>
        <w:separator/>
      </w:r>
    </w:p>
  </w:footnote>
  <w:footnote w:type="continuationSeparator" w:id="0">
    <w:p w:rsidR="002C3403" w:rsidRDefault="002C3403" w:rsidP="000D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1B81"/>
    <w:multiLevelType w:val="multilevel"/>
    <w:tmpl w:val="57BC1B81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F5"/>
    <w:rsid w:val="000D7145"/>
    <w:rsid w:val="002C3403"/>
    <w:rsid w:val="006269F5"/>
    <w:rsid w:val="0095144F"/>
    <w:rsid w:val="00C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4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qFormat/>
    <w:rsid w:val="00CF2D2C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a"/>
    <w:qFormat/>
    <w:rsid w:val="00CF2D2C"/>
    <w:rPr>
      <w:rFonts w:ascii="宋体" w:hAnsi="宋体" w:cs="Courier New"/>
      <w:sz w:val="32"/>
      <w:szCs w:val="32"/>
    </w:rPr>
  </w:style>
  <w:style w:type="character" w:styleId="a3">
    <w:name w:val="Strong"/>
    <w:qFormat/>
    <w:rsid w:val="00CF2D2C"/>
    <w:rPr>
      <w:b/>
      <w:bCs/>
    </w:rPr>
  </w:style>
  <w:style w:type="paragraph" w:styleId="a4">
    <w:name w:val="header"/>
    <w:basedOn w:val="a"/>
    <w:link w:val="Char0"/>
    <w:uiPriority w:val="99"/>
    <w:unhideWhenUsed/>
    <w:rsid w:val="000D7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D7145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D7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rsid w:val="000D7145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4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qFormat/>
    <w:rsid w:val="00CF2D2C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a"/>
    <w:qFormat/>
    <w:rsid w:val="00CF2D2C"/>
    <w:rPr>
      <w:rFonts w:ascii="宋体" w:hAnsi="宋体" w:cs="Courier New"/>
      <w:sz w:val="32"/>
      <w:szCs w:val="32"/>
    </w:rPr>
  </w:style>
  <w:style w:type="character" w:styleId="a3">
    <w:name w:val="Strong"/>
    <w:qFormat/>
    <w:rsid w:val="00CF2D2C"/>
    <w:rPr>
      <w:b/>
      <w:bCs/>
    </w:rPr>
  </w:style>
  <w:style w:type="paragraph" w:styleId="a4">
    <w:name w:val="header"/>
    <w:basedOn w:val="a"/>
    <w:link w:val="Char0"/>
    <w:uiPriority w:val="99"/>
    <w:unhideWhenUsed/>
    <w:rsid w:val="000D7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D7145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D7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rsid w:val="000D714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连梓宇</dc:creator>
  <cp:keywords/>
  <dc:description/>
  <cp:lastModifiedBy>连梓宇</cp:lastModifiedBy>
  <cp:revision>2</cp:revision>
  <dcterms:created xsi:type="dcterms:W3CDTF">2021-03-24T00:55:00Z</dcterms:created>
  <dcterms:modified xsi:type="dcterms:W3CDTF">2021-03-24T00:56:00Z</dcterms:modified>
</cp:coreProperties>
</file>