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10" w:tblpY="2739"/>
        <w:tblOverlap w:val="never"/>
        <w:tblW w:w="9780" w:type="dxa"/>
        <w:tblLayout w:type="fixed"/>
        <w:tblLook w:val="00A0"/>
      </w:tblPr>
      <w:tblGrid>
        <w:gridCol w:w="7919"/>
        <w:gridCol w:w="1861"/>
      </w:tblGrid>
      <w:tr w:rsidR="002370C4">
        <w:trPr>
          <w:trHeight w:val="3424"/>
        </w:trPr>
        <w:tc>
          <w:tcPr>
            <w:tcW w:w="7919" w:type="dxa"/>
            <w:vAlign w:val="center"/>
          </w:tcPr>
          <w:p w:rsidR="002370C4" w:rsidRDefault="002370C4">
            <w:pPr>
              <w:spacing w:line="1300" w:lineRule="exact"/>
              <w:jc w:val="distribute"/>
              <w:rPr>
                <w:rFonts w:ascii="方正小标宋简体" w:eastAsia="方正小标宋简体" w:hAnsi="宋体" w:cs="Times New Roman"/>
                <w:color w:val="FF0000"/>
                <w:spacing w:val="-11"/>
                <w:w w:val="70"/>
                <w:kern w:val="40"/>
                <w:sz w:val="88"/>
                <w:szCs w:val="88"/>
              </w:rPr>
            </w:pPr>
            <w:r>
              <w:rPr>
                <w:rFonts w:ascii="方正小标宋简体" w:eastAsia="方正小标宋简体" w:hAnsi="宋体" w:cs="方正小标宋简体" w:hint="eastAsia"/>
                <w:color w:val="FF0000"/>
                <w:spacing w:val="-11"/>
                <w:w w:val="70"/>
                <w:kern w:val="40"/>
                <w:sz w:val="88"/>
                <w:szCs w:val="88"/>
              </w:rPr>
              <w:t>乐清市经济和信息化局</w:t>
            </w:r>
          </w:p>
          <w:p w:rsidR="002370C4" w:rsidRDefault="002370C4">
            <w:pPr>
              <w:spacing w:line="1300" w:lineRule="exact"/>
              <w:jc w:val="distribute"/>
              <w:rPr>
                <w:rFonts w:ascii="方正小标宋简体" w:eastAsia="方正小标宋简体" w:hAnsi="宋体" w:cs="Times New Roman"/>
                <w:color w:val="FF0000"/>
                <w:spacing w:val="-11"/>
                <w:kern w:val="40"/>
                <w:sz w:val="88"/>
                <w:szCs w:val="88"/>
              </w:rPr>
            </w:pPr>
            <w:r>
              <w:rPr>
                <w:rFonts w:ascii="方正小标宋简体" w:eastAsia="方正小标宋简体" w:hAnsi="宋体" w:cs="方正小标宋简体" w:hint="eastAsia"/>
                <w:color w:val="FF0000"/>
                <w:spacing w:val="-11"/>
                <w:kern w:val="40"/>
                <w:sz w:val="88"/>
                <w:szCs w:val="88"/>
              </w:rPr>
              <w:t>乐清市财政局</w:t>
            </w:r>
          </w:p>
          <w:p w:rsidR="002370C4" w:rsidRDefault="002370C4">
            <w:pPr>
              <w:spacing w:line="1300" w:lineRule="exact"/>
              <w:jc w:val="distribute"/>
              <w:rPr>
                <w:rFonts w:ascii="方正小标宋简体" w:eastAsia="方正小标宋简体" w:hAnsi="宋体" w:cs="Times New Roman"/>
                <w:color w:val="FF0000"/>
                <w:spacing w:val="-11"/>
                <w:w w:val="70"/>
                <w:kern w:val="40"/>
                <w:sz w:val="88"/>
                <w:szCs w:val="88"/>
              </w:rPr>
            </w:pPr>
            <w:r>
              <w:rPr>
                <w:rFonts w:ascii="方正小标宋简体" w:eastAsia="方正小标宋简体" w:hAnsi="宋体" w:cs="方正小标宋简体" w:hint="eastAsia"/>
                <w:color w:val="FF0000"/>
                <w:spacing w:val="-11"/>
                <w:kern w:val="40"/>
                <w:sz w:val="88"/>
                <w:szCs w:val="88"/>
              </w:rPr>
              <w:t>乐清市供电局</w:t>
            </w:r>
          </w:p>
        </w:tc>
        <w:tc>
          <w:tcPr>
            <w:tcW w:w="1861" w:type="dxa"/>
            <w:vAlign w:val="center"/>
          </w:tcPr>
          <w:p w:rsidR="002370C4" w:rsidRDefault="002370C4">
            <w:pPr>
              <w:pStyle w:val="NormalWeb"/>
              <w:spacing w:line="315" w:lineRule="atLeast"/>
              <w:jc w:val="center"/>
              <w:rPr>
                <w:rStyle w:val="Strong"/>
                <w:rFonts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方正小标宋简体" w:eastAsia="方正小标宋简体" w:cs="方正小标宋简体" w:hint="eastAsia"/>
                <w:color w:val="FF0000"/>
                <w:spacing w:val="-11"/>
                <w:w w:val="70"/>
                <w:kern w:val="40"/>
                <w:sz w:val="88"/>
                <w:szCs w:val="88"/>
              </w:rPr>
              <w:t>文件</w:t>
            </w:r>
          </w:p>
        </w:tc>
      </w:tr>
    </w:tbl>
    <w:p w:rsidR="002370C4" w:rsidRDefault="002370C4">
      <w:pPr>
        <w:jc w:val="right"/>
        <w:rPr>
          <w:rFonts w:ascii="方正小标宋简体" w:eastAsia="方正小标宋简体" w:cs="方正小标宋简体"/>
          <w:sz w:val="30"/>
          <w:szCs w:val="30"/>
        </w:rPr>
      </w:pPr>
      <w:bookmarkStart w:id="0" w:name="issue_num"/>
      <w:r>
        <w:rPr>
          <w:rFonts w:ascii="方正小标宋简体" w:eastAsia="方正小标宋简体" w:cs="方正小标宋简体"/>
          <w:sz w:val="30"/>
          <w:szCs w:val="30"/>
        </w:rPr>
        <w:t>CYQD03-2019-0001</w:t>
      </w:r>
    </w:p>
    <w:p w:rsidR="002370C4" w:rsidRDefault="002370C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乐经信〔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28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</w:t>
      </w:r>
    </w:p>
    <w:p w:rsidR="002370C4" w:rsidRDefault="002370C4">
      <w:pPr>
        <w:rPr>
          <w:rFonts w:ascii="Times New Roman" w:eastAsia="方正小标宋简体" w:hAnsi="Times New Roman" w:cs="Times New Roman"/>
          <w:sz w:val="22"/>
          <w:szCs w:val="22"/>
        </w:rPr>
      </w:pPr>
      <w:r>
        <w:rPr>
          <w:noProof/>
        </w:rPr>
        <w:pict>
          <v:line id="Line 9" o:spid="_x0000_s1026" style="position:absolute;left:0;text-align:left;z-index:251658240" from="-16.1pt,18pt" to="461.9pt,18.05pt" strokecolor="red" strokeweight="3pt"/>
        </w:pict>
      </w:r>
      <w:bookmarkEnd w:id="0"/>
    </w:p>
    <w:p w:rsidR="002370C4" w:rsidRDefault="002370C4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2370C4" w:rsidRDefault="002370C4">
      <w:pPr>
        <w:spacing w:line="560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关于助力企业技术改造的通知</w:t>
      </w:r>
    </w:p>
    <w:p w:rsidR="002370C4" w:rsidRDefault="002370C4">
      <w:pPr>
        <w:spacing w:line="6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2370C4" w:rsidRDefault="002370C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各乡镇人民政府、街道办事处、各有关单位：</w:t>
      </w:r>
    </w:p>
    <w:p w:rsidR="002370C4" w:rsidRPr="0069199A" w:rsidRDefault="002370C4" w:rsidP="00741FE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根据《乐清市人民政府关于进一步支持企业技术改造的若干意见》（乐政发〔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号）精神，</w:t>
      </w:r>
      <w:r w:rsidRPr="00741FEB">
        <w:rPr>
          <w:rFonts w:ascii="仿宋_GB2312" w:eastAsia="仿宋_GB2312" w:hAnsi="仿宋_GB2312" w:cs="仿宋_GB2312" w:hint="eastAsia"/>
          <w:sz w:val="32"/>
          <w:szCs w:val="32"/>
        </w:rPr>
        <w:t>为激发企业技改内生动力，现就助力企业技术改造有关事项通知如下</w:t>
      </w:r>
      <w:r w:rsidRPr="00741FEB">
        <w:rPr>
          <w:rFonts w:ascii="仿宋_GB2312" w:eastAsia="仿宋_GB2312" w:hAnsi="仿宋_GB2312" w:cs="仿宋_GB2312"/>
          <w:sz w:val="32"/>
          <w:szCs w:val="32"/>
        </w:rPr>
        <w:t>: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一、鼓励银行业金融机构助力技改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对银行业金融机构的技术改造项目贷款，市财政给予相应的财政性存款配套。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（一）财政性存款配套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=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技术改造项目贷款金额（银行放款金额高于技改项目立项总投资的，按技改项目立项总投资额计算）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×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贷款期限系数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×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贷款利率系数。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1. </w:t>
      </w:r>
      <w:bookmarkStart w:id="1" w:name="_GoBack"/>
      <w:bookmarkEnd w:id="1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贷款期限系数：贷款期限为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年以内、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年期、超过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年期的，分别按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1:0.8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1:1.3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1:1.5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的比例给予银行配套财政性存款。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2. 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贷款利率系数：贷款利率较基准利率上浮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以下，按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1:0.9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配套存款额；上浮超过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10%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以下，按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1:0.8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配套存款额；上浮超过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10%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，不予配套；下浮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以下，按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1:1.1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配套存款额；下浮超过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1:1.2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配套财政性存款。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（二）技改项目按立项统计，同一技改项目由不同银行放贷的，优先配套低利率、长期限的银行。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（三）财政性存款配套每两个月确定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(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包括新增和收回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)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一次。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（四）金融助力技改不到位的银行，进行扣减财政性存款。每家银行（小微支行除外）每年至少完成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个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500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万元以上、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年期以上、基准利率的技改项目贷款，未完成的，根据下达的任务数扣除财政性存款。工商银行、农业银行、中国银行、建设银行</w:t>
      </w:r>
      <w:r w:rsidRPr="00741FEB">
        <w:rPr>
          <w:rFonts w:ascii="Times New Roman" w:eastAsia="仿宋_GB2312" w:hAnsi="Times New Roman" w:cs="仿宋_GB2312" w:hint="eastAsia"/>
          <w:sz w:val="32"/>
          <w:szCs w:val="32"/>
        </w:rPr>
        <w:t>等</w:t>
      </w:r>
      <w:r w:rsidRPr="00741FEB">
        <w:rPr>
          <w:rFonts w:ascii="Times New Roman" w:eastAsia="仿宋_GB2312" w:hAnsi="Times New Roman" w:cs="Times New Roman"/>
          <w:sz w:val="32"/>
          <w:szCs w:val="32"/>
        </w:rPr>
        <w:t>4</w:t>
      </w:r>
      <w:r w:rsidRPr="00741FEB">
        <w:rPr>
          <w:rFonts w:ascii="Times New Roman" w:eastAsia="仿宋_GB2312" w:hAnsi="Times New Roman" w:cs="仿宋_GB2312" w:hint="eastAsia"/>
          <w:sz w:val="32"/>
          <w:szCs w:val="32"/>
        </w:rPr>
        <w:t>家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国有银行的年度技改项目贷款任务数，由市政府根据在该行的财政存款按一定比例另行确定。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（五）</w:t>
      </w:r>
      <w:r w:rsidRPr="00741FEB">
        <w:rPr>
          <w:rFonts w:ascii="Times New Roman" w:eastAsia="仿宋_GB2312" w:hAnsi="Times New Roman" w:cs="仿宋_GB2312" w:hint="eastAsia"/>
          <w:sz w:val="32"/>
          <w:szCs w:val="32"/>
        </w:rPr>
        <w:t>市财政局、市经信局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每半年对立项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500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万元以上并有财政性存款配套的技改项目进行抽查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并根据抽查情况采取相应的措施。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（六）个别或特殊情况，可实行一事一议。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二、进一步引导企业加大智能化技术改造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整合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机器换人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和两化融合备案立项，项目实际投入（包括设备和信息化软、硬件等）超过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万元以上的，按照《乐清市人民政府关于进一步支持企业技术改造的若干意见》（乐政发〔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号）相关比例予以补助。项目投资总额中涉及两化融合投入部分，补助比例按照技术改造或者原两化融合项目就高享受。其中电脑购置类投资额不超过两化融合项目投入的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（二）研发、检测、试验设备纳入技改补助范围，不同时享受《乐清市高新技术企业研发后补助资金管理办法（试行）》（乐政发〔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41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号）补助政策。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（三）允许技改项目在备案有效期内随时申请立项，即时验收。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三、简化技改项目用电扩容流程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技改企业申请用电增容的，可到各供电营业厅按要求提供资料（法人代表身份证、营业执照、房屋产权证明）申请，或下载注册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掌上电力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APP”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线上直接上传资料申请；受理后，于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个工作日内答复供电方案（原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15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日，现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日）；客户受电工程竣工后，于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个工作日内完成验收送电（将验收、装表、合同签订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个环节串改并，压降时长至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日）。期间，市供电局将落实电力营商专员为客户提供全程免费代办服务。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四、其他事项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市经信局、市财政局、市供电局和相关银行建立联合服务组，为有需求的技改企业提供全程代办服务。</w:t>
      </w:r>
    </w:p>
    <w:p w:rsidR="002370C4" w:rsidRDefault="002370C4" w:rsidP="00741FEB">
      <w:pPr>
        <w:spacing w:line="60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本通知自印发之日起施行，有效期至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17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日。</w:t>
      </w:r>
    </w:p>
    <w:p w:rsidR="002370C4" w:rsidRDefault="002370C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2370C4" w:rsidRDefault="002370C4">
      <w:pPr>
        <w:spacing w:line="600" w:lineRule="exact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370C4" w:rsidRDefault="002370C4" w:rsidP="00741FEB">
      <w:pPr>
        <w:spacing w:line="600" w:lineRule="exact"/>
        <w:ind w:firstLineChars="200" w:firstLine="3168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乐清市经济和信息化局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乐清市财政局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</w:p>
    <w:p w:rsidR="002370C4" w:rsidRDefault="002370C4" w:rsidP="00741FEB">
      <w:pPr>
        <w:spacing w:line="600" w:lineRule="exact"/>
        <w:ind w:firstLineChars="200" w:firstLine="3168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370C4" w:rsidRDefault="002370C4" w:rsidP="00741FEB">
      <w:pPr>
        <w:spacing w:line="600" w:lineRule="exact"/>
        <w:ind w:firstLineChars="200" w:firstLine="3168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370C4" w:rsidRDefault="002370C4" w:rsidP="00741FEB">
      <w:pPr>
        <w:spacing w:line="600" w:lineRule="exact"/>
        <w:ind w:firstLineChars="200" w:firstLine="3168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乐清市供电局</w:t>
      </w:r>
    </w:p>
    <w:p w:rsidR="002370C4" w:rsidRDefault="002370C4">
      <w:pPr>
        <w:spacing w:line="600" w:lineRule="exact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2019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29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</w:t>
      </w:r>
    </w:p>
    <w:p w:rsidR="002370C4" w:rsidRDefault="002370C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（此件公开发布）</w:t>
      </w:r>
    </w:p>
    <w:sectPr w:rsidR="002370C4" w:rsidSect="00974100">
      <w:pgSz w:w="11906" w:h="16838"/>
      <w:pgMar w:top="187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C4" w:rsidRDefault="002370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70C4" w:rsidRDefault="002370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C4" w:rsidRDefault="002370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70C4" w:rsidRDefault="002370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7667B6"/>
    <w:rsid w:val="000E360F"/>
    <w:rsid w:val="00113E02"/>
    <w:rsid w:val="00133E6D"/>
    <w:rsid w:val="00174547"/>
    <w:rsid w:val="001C0BCB"/>
    <w:rsid w:val="001D268F"/>
    <w:rsid w:val="00212E8C"/>
    <w:rsid w:val="0023129A"/>
    <w:rsid w:val="002370C4"/>
    <w:rsid w:val="0025234C"/>
    <w:rsid w:val="00265C9D"/>
    <w:rsid w:val="002C33A8"/>
    <w:rsid w:val="0030728F"/>
    <w:rsid w:val="003966FC"/>
    <w:rsid w:val="00396BF6"/>
    <w:rsid w:val="003A05DA"/>
    <w:rsid w:val="003A3FA0"/>
    <w:rsid w:val="003B5226"/>
    <w:rsid w:val="004236BE"/>
    <w:rsid w:val="004606FF"/>
    <w:rsid w:val="00477AC0"/>
    <w:rsid w:val="004C2556"/>
    <w:rsid w:val="004F44B1"/>
    <w:rsid w:val="00575590"/>
    <w:rsid w:val="00593F66"/>
    <w:rsid w:val="005E51C7"/>
    <w:rsid w:val="0069199A"/>
    <w:rsid w:val="00695ECE"/>
    <w:rsid w:val="006D06CC"/>
    <w:rsid w:val="00700036"/>
    <w:rsid w:val="00741FEB"/>
    <w:rsid w:val="00794138"/>
    <w:rsid w:val="007A0E89"/>
    <w:rsid w:val="00813DA4"/>
    <w:rsid w:val="00820C96"/>
    <w:rsid w:val="008706C0"/>
    <w:rsid w:val="00896D9C"/>
    <w:rsid w:val="008B097A"/>
    <w:rsid w:val="009032ED"/>
    <w:rsid w:val="00913F73"/>
    <w:rsid w:val="00974100"/>
    <w:rsid w:val="009802D8"/>
    <w:rsid w:val="0098668E"/>
    <w:rsid w:val="009A34B0"/>
    <w:rsid w:val="009E77C9"/>
    <w:rsid w:val="00A16FF3"/>
    <w:rsid w:val="00A17663"/>
    <w:rsid w:val="00A444EC"/>
    <w:rsid w:val="00A93969"/>
    <w:rsid w:val="00AA252D"/>
    <w:rsid w:val="00AD3F19"/>
    <w:rsid w:val="00AE7CF1"/>
    <w:rsid w:val="00BE684D"/>
    <w:rsid w:val="00C93897"/>
    <w:rsid w:val="00CE064A"/>
    <w:rsid w:val="00CE6DC9"/>
    <w:rsid w:val="00D00C37"/>
    <w:rsid w:val="00D4080E"/>
    <w:rsid w:val="00D964FF"/>
    <w:rsid w:val="00E02B56"/>
    <w:rsid w:val="00E50CED"/>
    <w:rsid w:val="00EB7A82"/>
    <w:rsid w:val="00EC7B47"/>
    <w:rsid w:val="00EE047B"/>
    <w:rsid w:val="00F86032"/>
    <w:rsid w:val="00FF01BB"/>
    <w:rsid w:val="04E12A39"/>
    <w:rsid w:val="204E48B3"/>
    <w:rsid w:val="36765D59"/>
    <w:rsid w:val="5476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0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4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4100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4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4100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974100"/>
    <w:pPr>
      <w:widowControl/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32"/>
      <w:szCs w:val="32"/>
    </w:rPr>
  </w:style>
  <w:style w:type="table" w:styleId="TableGrid">
    <w:name w:val="Table Grid"/>
    <w:basedOn w:val="TableNormal"/>
    <w:uiPriority w:val="99"/>
    <w:locked/>
    <w:rsid w:val="00974100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974100"/>
    <w:rPr>
      <w:b/>
      <w:bCs/>
    </w:rPr>
  </w:style>
  <w:style w:type="paragraph" w:styleId="ListParagraph">
    <w:name w:val="List Paragraph"/>
    <w:basedOn w:val="Normal"/>
    <w:uiPriority w:val="99"/>
    <w:qFormat/>
    <w:rsid w:val="009741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217</Words>
  <Characters>1238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乐清市经信局 乐清市财政局 乐清市供电局</dc:title>
  <dc:subject/>
  <dc:creator>Administrator</dc:creator>
  <cp:keywords/>
  <dc:description/>
  <cp:lastModifiedBy>乐清市收文</cp:lastModifiedBy>
  <cp:revision>11</cp:revision>
  <dcterms:created xsi:type="dcterms:W3CDTF">2019-03-29T06:43:00Z</dcterms:created>
  <dcterms:modified xsi:type="dcterms:W3CDTF">2019-04-10T09:41:00Z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