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00" w:lineRule="exact"/>
        <w:rPr>
          <w:rFonts w:hint="eastAsia" w:ascii="方正小标宋简体" w:hAnsi="方正小标宋简体" w:eastAsia="方正小标宋简体" w:cs="方正小标宋简体"/>
          <w:b/>
          <w:bCs/>
          <w:color w:val="333333"/>
          <w:kern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乐清市翁垟街道办事处202</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bCs/>
          <w:i w:val="0"/>
          <w:iCs w:val="0"/>
          <w:caps w:val="0"/>
          <w:color w:val="333333"/>
          <w:spacing w:val="0"/>
          <w:sz w:val="44"/>
          <w:szCs w:val="44"/>
          <w:shd w:val="clear" w:color="auto" w:fill="FFFFFF"/>
        </w:rPr>
        <w:t>年度政府信息公开工作年度报告</w:t>
      </w:r>
    </w:p>
    <w:p>
      <w:pPr>
        <w:shd w:val="clear" w:color="auto" w:fill="FFFFFF"/>
        <w:ind w:firstLine="480"/>
        <w:rPr>
          <w:rFonts w:eastAsia="黑体"/>
          <w:color w:val="333333"/>
        </w:rPr>
      </w:pPr>
      <w:r>
        <w:rPr>
          <w:rFonts w:eastAsia="黑体"/>
          <w:b/>
          <w:bCs/>
          <w:color w:val="333333"/>
        </w:rPr>
        <w:t>一、总体情况</w:t>
      </w:r>
    </w:p>
    <w:p>
      <w:pPr>
        <w:ind w:firstLine="640" w:firstLineChars="200"/>
        <w:rPr>
          <w:rFonts w:hint="eastAsia"/>
        </w:rPr>
      </w:pPr>
      <w:r>
        <w:rPr>
          <w:rFonts w:hint="eastAsia"/>
        </w:rPr>
        <w:t>202</w:t>
      </w:r>
      <w:r>
        <w:rPr>
          <w:rFonts w:hint="eastAsia"/>
          <w:lang w:val="en-US" w:eastAsia="zh-CN"/>
        </w:rPr>
        <w:t>2</w:t>
      </w:r>
      <w:r>
        <w:rPr>
          <w:rFonts w:hint="eastAsia"/>
        </w:rPr>
        <w:t>年度报告根据新修订《中华人民共和国政府信息公开条例》（以下简称《条例》）的要求，由翁垟街道办事处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w:t>
      </w:r>
      <w:r>
        <w:rPr>
          <w:rFonts w:hint="eastAsia"/>
          <w:lang w:val="en-US" w:eastAsia="zh-CN"/>
        </w:rPr>
        <w:t>2</w:t>
      </w:r>
      <w:r>
        <w:rPr>
          <w:rFonts w:hint="eastAsia"/>
        </w:rPr>
        <w:t>年1月1日至202</w:t>
      </w:r>
      <w:r>
        <w:rPr>
          <w:rFonts w:hint="eastAsia"/>
          <w:lang w:val="en-US" w:eastAsia="zh-CN"/>
        </w:rPr>
        <w:t>2</w:t>
      </w:r>
      <w:r>
        <w:rPr>
          <w:rFonts w:hint="eastAsia"/>
        </w:rPr>
        <w:t>年12月31日止。报告的电子版可在乐清市政府门户网站（http://www.yueqing.gov.cn/）上下载。如对报告内容有疑问，请与翁垟街道办事处党政综合办公室联系（电话：0577-61810077）。</w:t>
      </w:r>
    </w:p>
    <w:p>
      <w:pPr>
        <w:widowControl/>
        <w:shd w:val="clear" w:color="auto" w:fill="FFFFFF"/>
        <w:spacing w:line="560" w:lineRule="exact"/>
        <w:ind w:firstLine="643" w:firstLineChars="200"/>
        <w:rPr>
          <w:rFonts w:hint="eastAsia" w:ascii="仿宋_GB2312" w:eastAsia="仿宋_GB2312"/>
          <w:b/>
          <w:sz w:val="32"/>
          <w:szCs w:val="32"/>
        </w:rPr>
      </w:pPr>
      <w:r>
        <w:rPr>
          <w:rFonts w:hint="eastAsia" w:ascii="仿宋_GB2312" w:eastAsia="仿宋_GB2312"/>
          <w:b/>
          <w:sz w:val="32"/>
          <w:szCs w:val="32"/>
        </w:rPr>
        <w:t>（一）主动公开情况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2022</w:t>
      </w:r>
      <w:r>
        <w:rPr>
          <w:rFonts w:hint="eastAsia" w:ascii="仿宋_GB2312" w:eastAsia="仿宋_GB2312"/>
          <w:sz w:val="32"/>
          <w:szCs w:val="32"/>
        </w:rPr>
        <w:t>年，我街道公开的政府信息主要包括信息公开指南、机构</w:t>
      </w:r>
      <w:r>
        <w:rPr>
          <w:rFonts w:hint="eastAsia" w:ascii="仿宋_GB2312" w:eastAsia="仿宋_GB2312"/>
          <w:sz w:val="32"/>
          <w:szCs w:val="32"/>
          <w:lang w:val="en-US" w:eastAsia="zh-CN"/>
        </w:rPr>
        <w:t>设置</w:t>
      </w:r>
      <w:r>
        <w:rPr>
          <w:rFonts w:hint="eastAsia" w:ascii="仿宋_GB2312" w:eastAsia="仿宋_GB2312"/>
          <w:sz w:val="32"/>
          <w:szCs w:val="32"/>
        </w:rPr>
        <w:t>、</w:t>
      </w:r>
      <w:r>
        <w:rPr>
          <w:rFonts w:hint="eastAsia" w:ascii="仿宋_GB2312" w:eastAsia="仿宋_GB2312"/>
          <w:sz w:val="32"/>
          <w:szCs w:val="32"/>
          <w:lang w:val="en-US" w:eastAsia="zh-CN"/>
        </w:rPr>
        <w:t>政策文件</w:t>
      </w:r>
      <w:r>
        <w:rPr>
          <w:rFonts w:hint="eastAsia" w:ascii="仿宋_GB2312" w:eastAsia="仿宋_GB2312"/>
          <w:sz w:val="32"/>
          <w:szCs w:val="32"/>
        </w:rPr>
        <w:t>、</w:t>
      </w:r>
      <w:r>
        <w:rPr>
          <w:rFonts w:hint="eastAsia" w:ascii="仿宋_GB2312" w:eastAsia="仿宋_GB2312"/>
          <w:sz w:val="32"/>
          <w:szCs w:val="32"/>
          <w:lang w:val="en-US" w:eastAsia="zh-CN"/>
        </w:rPr>
        <w:t>人事信息</w:t>
      </w:r>
      <w:r>
        <w:rPr>
          <w:rFonts w:hint="eastAsia" w:ascii="仿宋_GB2312" w:eastAsia="仿宋_GB2312"/>
          <w:sz w:val="32"/>
          <w:szCs w:val="32"/>
        </w:rPr>
        <w:t>、</w:t>
      </w:r>
      <w:r>
        <w:rPr>
          <w:rFonts w:hint="eastAsia" w:ascii="仿宋_GB2312" w:eastAsia="仿宋_GB2312"/>
          <w:sz w:val="32"/>
          <w:szCs w:val="32"/>
          <w:lang w:val="en-US" w:eastAsia="zh-CN"/>
        </w:rPr>
        <w:t>规划计划、财政信息</w:t>
      </w:r>
      <w:r>
        <w:rPr>
          <w:rFonts w:hint="eastAsia" w:ascii="仿宋_GB2312" w:eastAsia="仿宋_GB2312"/>
          <w:sz w:val="32"/>
          <w:szCs w:val="32"/>
        </w:rPr>
        <w:t>等。今年共主动公开信息</w:t>
      </w:r>
      <w:r>
        <w:rPr>
          <w:rFonts w:hint="eastAsia" w:ascii="仿宋_GB2312" w:eastAsia="仿宋_GB2312"/>
          <w:sz w:val="32"/>
          <w:szCs w:val="32"/>
          <w:lang w:val="en-US" w:eastAsia="zh-CN"/>
        </w:rPr>
        <w:t>41</w:t>
      </w:r>
      <w:r>
        <w:rPr>
          <w:rFonts w:hint="eastAsia" w:ascii="仿宋_GB2312" w:eastAsia="仿宋_GB2312"/>
          <w:sz w:val="32"/>
          <w:szCs w:val="32"/>
        </w:rPr>
        <w:t>条，</w:t>
      </w:r>
      <w:r>
        <w:rPr>
          <w:rFonts w:hint="eastAsia" w:ascii="仿宋_GB2312" w:eastAsia="仿宋_GB2312"/>
          <w:sz w:val="32"/>
          <w:szCs w:val="32"/>
          <w:lang w:val="en-US" w:eastAsia="zh-CN"/>
        </w:rPr>
        <w:t>其中机构设置20条（机构概况1条，领导信息17条，内设机构1条，联系方式1条），政策文件11条（部门文件9条，政策解读2条），人事信息3条，规划计划5条，财政信息2条。</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在政务公开工作中，我街道秉持</w:t>
      </w:r>
      <w:r>
        <w:rPr>
          <w:rFonts w:hint="eastAsia" w:ascii="仿宋_GB2312" w:eastAsia="仿宋_GB2312"/>
          <w:sz w:val="32"/>
          <w:szCs w:val="32"/>
        </w:rPr>
        <w:t>“公开、公正、公平、便民”原则</w:t>
      </w:r>
      <w:r>
        <w:rPr>
          <w:rFonts w:hint="eastAsia" w:ascii="仿宋_GB2312" w:eastAsia="仿宋_GB2312"/>
          <w:sz w:val="32"/>
          <w:szCs w:val="32"/>
          <w:lang w:eastAsia="zh-CN"/>
        </w:rPr>
        <w:t>，</w:t>
      </w:r>
      <w:r>
        <w:rPr>
          <w:rFonts w:hint="eastAsia" w:ascii="仿宋_GB2312" w:eastAsia="仿宋_GB2312"/>
          <w:sz w:val="32"/>
          <w:szCs w:val="32"/>
          <w:lang w:val="en-US" w:eastAsia="zh-CN"/>
        </w:rPr>
        <w:t>主动公开群众关心的政策文件、人事信息、财政信息等，确保信息公开工作准确、及时、高效。</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一、加强组织领导。</w:t>
      </w:r>
      <w:r>
        <w:rPr>
          <w:rFonts w:hint="eastAsia" w:ascii="仿宋_GB2312" w:hAnsi="仿宋_GB2312" w:eastAsia="仿宋_GB2312" w:cs="仿宋_GB2312"/>
          <w:sz w:val="32"/>
          <w:szCs w:val="32"/>
        </w:rPr>
        <w:t>成立政府信息公开工作领导小组</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负责组织、指导、协调和监督街道政务信息公开工作。</w:t>
      </w:r>
      <w:r>
        <w:rPr>
          <w:rFonts w:hint="eastAsia" w:ascii="仿宋_GB2312" w:hAnsi="仿宋_GB2312" w:eastAsia="仿宋_GB2312" w:cs="仿宋_GB2312"/>
          <w:sz w:val="32"/>
          <w:szCs w:val="32"/>
          <w:lang w:val="en-US" w:eastAsia="zh-CN"/>
        </w:rPr>
        <w:t>明确一名分管领导为小组组长，由街道党政办负责</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val="en-US" w:eastAsia="zh-CN"/>
        </w:rPr>
        <w:t>日常</w:t>
      </w:r>
      <w:r>
        <w:rPr>
          <w:rFonts w:hint="eastAsia" w:ascii="仿宋_GB2312" w:hAnsi="仿宋_GB2312" w:eastAsia="仿宋_GB2312" w:cs="仿宋_GB2312"/>
          <w:sz w:val="32"/>
          <w:szCs w:val="32"/>
        </w:rPr>
        <w:t>政务公开工作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在领导小组的统一领导和综合协调下，各科室积极配合党政办工作，在职责范围内提供信息公开的各项业务资料，由党政办审核统一发布，政府信息公开工作得以顺利开展。</w:t>
      </w:r>
    </w:p>
    <w:p>
      <w:pPr>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二、完善工作制度。</w:t>
      </w:r>
      <w:r>
        <w:rPr>
          <w:rFonts w:hint="eastAsia" w:ascii="仿宋_GB2312" w:hAnsi="仿宋_GB2312" w:eastAsia="仿宋_GB2312" w:cs="仿宋_GB2312"/>
          <w:sz w:val="32"/>
          <w:szCs w:val="32"/>
        </w:rPr>
        <w:t>按照《中华人民共和国政府信息公开条例》和《浙江省政府信息公开暂行办法》规定，编制《乐清市翁垟街道办事处信息公开指南》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规范工作流程，改进工作方法，</w:t>
      </w:r>
      <w:r>
        <w:rPr>
          <w:rFonts w:hint="eastAsia" w:ascii="仿宋_GB2312" w:hAnsi="仿宋_GB2312" w:eastAsia="仿宋_GB2312" w:cs="仿宋_GB2312"/>
          <w:sz w:val="32"/>
          <w:szCs w:val="32"/>
        </w:rPr>
        <w:t>更好地为公民、法人和其他组织提供政府信息公开服务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根据《中华人民共和国保守国家秘密法》，“涉密信息不上网，上网信息不涉密”的原则，确保政务信息公开内容无涉及国家秘密和内部敏感事项。</w:t>
      </w:r>
    </w:p>
    <w:p>
      <w:pPr>
        <w:ind w:firstLine="643" w:firstLineChars="200"/>
        <w:rPr>
          <w:rFonts w:hint="eastAsia" w:ascii="仿宋_GB2312" w:hAnsi="仿宋_GB2312" w:eastAsia="仿宋_GB2312" w:cs="仿宋_GB2312"/>
          <w:color w:val="333333"/>
          <w:sz w:val="32"/>
          <w:szCs w:val="32"/>
          <w:lang w:val="en-US" w:eastAsia="zh-CN"/>
        </w:rPr>
      </w:pPr>
      <w:r>
        <w:rPr>
          <w:rFonts w:hint="eastAsia" w:ascii="楷体_GB2312" w:hAnsi="楷体_GB2312" w:eastAsia="楷体_GB2312" w:cs="楷体_GB2312"/>
          <w:b/>
          <w:bCs/>
          <w:sz w:val="32"/>
          <w:szCs w:val="32"/>
          <w:lang w:val="en-US" w:eastAsia="zh-CN"/>
        </w:rPr>
        <w:t>三、强化工作落实。</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街道在市府办信息公开科的指导下，加强了政府网站的公开规范。</w:t>
      </w:r>
      <w:r>
        <w:rPr>
          <w:rFonts w:hint="eastAsia" w:ascii="仿宋_GB2312" w:hAnsi="仿宋_GB2312" w:eastAsia="仿宋_GB2312" w:cs="仿宋_GB2312"/>
          <w:sz w:val="32"/>
          <w:szCs w:val="32"/>
          <w:lang w:val="en-US" w:eastAsia="zh-CN"/>
        </w:rPr>
        <w:t>在办事处</w:t>
      </w:r>
      <w:r>
        <w:rPr>
          <w:rFonts w:hint="eastAsia" w:ascii="仿宋_GB2312" w:hAnsi="仿宋_GB2312" w:eastAsia="仿宋_GB2312" w:cs="仿宋_GB2312"/>
          <w:sz w:val="32"/>
          <w:szCs w:val="32"/>
        </w:rPr>
        <w:t>公示栏、政府政务网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公众号</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val="en-US" w:eastAsia="zh-CN"/>
        </w:rPr>
        <w:t>政务信息，提高工作的透明度，满足群众</w:t>
      </w:r>
      <w:r>
        <w:rPr>
          <w:rFonts w:hint="eastAsia" w:ascii="仿宋_GB2312" w:hAnsi="仿宋_GB2312" w:eastAsia="仿宋_GB2312" w:cs="仿宋_GB2312"/>
          <w:color w:val="333333"/>
          <w:sz w:val="32"/>
          <w:szCs w:val="32"/>
          <w:lang w:val="en-US" w:eastAsia="zh-CN"/>
        </w:rPr>
        <w:t>知情权。</w:t>
      </w:r>
    </w:p>
    <w:p>
      <w:pPr>
        <w:ind w:firstLine="643" w:firstLineChars="200"/>
        <w:rPr>
          <w:rFonts w:hint="eastAsia" w:ascii="仿宋_GB2312" w:eastAsia="仿宋_GB2312"/>
          <w:b/>
          <w:sz w:val="32"/>
          <w:szCs w:val="32"/>
        </w:rPr>
      </w:pPr>
      <w:r>
        <w:rPr>
          <w:rFonts w:hint="eastAsia" w:ascii="仿宋_GB2312" w:eastAsia="仿宋_GB2312"/>
          <w:b/>
          <w:sz w:val="32"/>
          <w:szCs w:val="32"/>
        </w:rPr>
        <w:t>（二）依申请公开和政策解读情况。</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2022</w:t>
      </w:r>
      <w:r>
        <w:rPr>
          <w:rFonts w:hint="eastAsia" w:ascii="仿宋_GB2312" w:eastAsia="仿宋_GB2312"/>
          <w:sz w:val="32"/>
          <w:szCs w:val="32"/>
        </w:rPr>
        <w:t>年度</w:t>
      </w:r>
      <w:r>
        <w:rPr>
          <w:rFonts w:hint="eastAsia" w:ascii="仿宋_GB2312" w:eastAsia="仿宋_GB2312"/>
          <w:sz w:val="32"/>
          <w:szCs w:val="32"/>
          <w:lang w:val="en-US" w:eastAsia="zh-CN"/>
        </w:rPr>
        <w:t>翁垟</w:t>
      </w:r>
      <w:r>
        <w:rPr>
          <w:rFonts w:hint="eastAsia" w:ascii="仿宋_GB2312" w:eastAsia="仿宋_GB2312"/>
          <w:sz w:val="32"/>
          <w:szCs w:val="32"/>
        </w:rPr>
        <w:t>街道共受理申请公开数</w:t>
      </w:r>
      <w:r>
        <w:rPr>
          <w:rFonts w:hint="eastAsia" w:ascii="仿宋_GB2312" w:eastAsia="仿宋_GB2312"/>
          <w:sz w:val="32"/>
          <w:szCs w:val="32"/>
          <w:lang w:val="en-US" w:eastAsia="zh-CN"/>
        </w:rPr>
        <w:t>4</w:t>
      </w:r>
      <w:r>
        <w:rPr>
          <w:rFonts w:hint="eastAsia" w:ascii="仿宋_GB2312" w:eastAsia="仿宋_GB2312"/>
          <w:sz w:val="32"/>
          <w:szCs w:val="32"/>
        </w:rPr>
        <w:t>个，</w:t>
      </w:r>
      <w:r>
        <w:rPr>
          <w:rFonts w:hint="eastAsia" w:ascii="仿宋_GB2312" w:eastAsia="仿宋_GB2312"/>
          <w:sz w:val="32"/>
          <w:szCs w:val="32"/>
          <w:lang w:val="en-US" w:eastAsia="zh-CN"/>
        </w:rPr>
        <w:t>均</w:t>
      </w:r>
      <w:r>
        <w:rPr>
          <w:rFonts w:hint="eastAsia" w:ascii="仿宋_GB2312" w:eastAsia="仿宋_GB2312"/>
          <w:sz w:val="32"/>
          <w:szCs w:val="32"/>
        </w:rPr>
        <w:t>已</w:t>
      </w:r>
      <w:r>
        <w:rPr>
          <w:rFonts w:hint="eastAsia" w:ascii="仿宋_GB2312" w:eastAsia="仿宋_GB2312"/>
          <w:sz w:val="32"/>
          <w:szCs w:val="32"/>
          <w:lang w:val="en-US" w:eastAsia="zh-CN"/>
        </w:rPr>
        <w:t>完成</w:t>
      </w:r>
      <w:r>
        <w:rPr>
          <w:rFonts w:hint="eastAsia" w:ascii="仿宋_GB2312" w:eastAsia="仿宋_GB2312"/>
          <w:sz w:val="32"/>
          <w:szCs w:val="32"/>
        </w:rPr>
        <w:t>答复。</w:t>
      </w:r>
    </w:p>
    <w:p>
      <w:pPr>
        <w:shd w:val="clear" w:color="auto" w:fill="FFFFFF"/>
        <w:ind w:firstLine="480"/>
        <w:rPr>
          <w:color w:val="333333"/>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967" w:firstLineChars="301"/>
              <w:rPr>
                <w:color w:val="000000"/>
                <w:sz w:val="24"/>
              </w:rPr>
            </w:pPr>
            <w:r>
              <w:rPr>
                <w:rFonts w:eastAsia="黑体"/>
                <w:b/>
                <w:bCs/>
                <w:color w:val="333333"/>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w:t>
            </w:r>
            <w:r>
              <w:rPr>
                <w:sz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35" w:type="dxa"/>
            <w:gridSpan w:val="9"/>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c>
          <w:tcPr>
            <w:tcW w:w="2443" w:type="dxa"/>
            <w:gridSpan w:val="7"/>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default" w:eastAsia="仿宋_GB2312"/>
                <w:sz w:val="24"/>
                <w:lang w:val="en-US" w:eastAsia="zh-CN"/>
              </w:rPr>
            </w:pPr>
            <w:r>
              <w:rPr>
                <w:rFonts w:hint="eastAsia"/>
                <w:sz w:val="24"/>
                <w:lang w:val="en-US" w:eastAsia="zh-CN"/>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hAnsi="宋体"/>
                <w:color w:val="00000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sz w:val="24"/>
              </w:rPr>
            </w:pPr>
            <w:r>
              <w:rPr>
                <w:color w:val="000000"/>
                <w:sz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sz w:val="24"/>
              </w:rPr>
            </w:pPr>
            <w:r>
              <w:rPr>
                <w:rFonts w:eastAsia="楷体"/>
                <w:sz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sz w:val="24"/>
              </w:rPr>
            </w:pPr>
          </w:p>
        </w:tc>
        <w:tc>
          <w:tcPr>
            <w:tcW w:w="688" w:type="dxa"/>
            <w:gridSpan w:val="2"/>
            <w:vMerge w:val="continue"/>
            <w:noWrap w:val="0"/>
            <w:vAlign w:val="center"/>
          </w:tcPr>
          <w:p>
            <w:pPr>
              <w:spacing w:before="57" w:beforeLines="10" w:after="57" w:afterLines="10" w:line="300" w:lineRule="exact"/>
              <w:rPr>
                <w:sz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商业</w:t>
            </w:r>
          </w:p>
          <w:p>
            <w:pPr>
              <w:spacing w:before="57" w:beforeLines="10" w:after="57" w:afterLines="10" w:line="300" w:lineRule="exact"/>
              <w:jc w:val="center"/>
              <w:rPr>
                <w:sz w:val="24"/>
              </w:rPr>
            </w:pPr>
            <w:r>
              <w:rPr>
                <w:sz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科研</w:t>
            </w:r>
          </w:p>
          <w:p>
            <w:pPr>
              <w:spacing w:before="57" w:beforeLines="10" w:after="57" w:afterLines="10" w:line="300" w:lineRule="exact"/>
              <w:jc w:val="center"/>
              <w:rPr>
                <w:sz w:val="24"/>
              </w:rPr>
            </w:pPr>
            <w:r>
              <w:rPr>
                <w:sz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sz w:val="24"/>
              </w:rPr>
            </w:pPr>
            <w:r>
              <w:rPr>
                <w:sz w:val="24"/>
              </w:rPr>
              <w:t>其他</w:t>
            </w:r>
          </w:p>
        </w:tc>
        <w:tc>
          <w:tcPr>
            <w:tcW w:w="689" w:type="dxa"/>
            <w:gridSpan w:val="2"/>
            <w:vMerge w:val="continue"/>
            <w:noWrap w:val="0"/>
            <w:vAlign w:val="center"/>
          </w:tcPr>
          <w:p>
            <w:pPr>
              <w:spacing w:before="57" w:beforeLines="10" w:after="57"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4</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32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32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32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sz w:val="24"/>
              </w:rPr>
            </w:pPr>
            <w:r>
              <w:rPr>
                <w:sz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（二）部分公开</w:t>
            </w:r>
            <w:r>
              <w:rPr>
                <w:rFonts w:eastAsia="楷体"/>
                <w:sz w:val="24"/>
              </w:rPr>
              <w:t>（区分处理的，只计这一情形，不计其他情形）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2</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1</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default"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1</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sz w:val="24"/>
              </w:rPr>
            </w:pPr>
            <w:r>
              <w:rPr>
                <w:sz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sz w:val="24"/>
              </w:rPr>
            </w:pPr>
            <w:r>
              <w:rPr>
                <w:sz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949" w:type="dxa"/>
            <w:gridSpan w:val="2"/>
            <w:vMerge w:val="continue"/>
            <w:noWrap w:val="0"/>
            <w:vAlign w:val="center"/>
          </w:tcPr>
          <w:p>
            <w:pPr>
              <w:spacing w:before="80" w:beforeLines="14" w:after="80" w:afterLines="14" w:line="300" w:lineRule="exact"/>
              <w:rPr>
                <w:sz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sz w:val="24"/>
              </w:rPr>
            </w:pPr>
            <w:r>
              <w:rPr>
                <w:sz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sz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sz w:val="24"/>
              </w:rPr>
            </w:pPr>
            <w:r>
              <w:rPr>
                <w:sz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4</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sz w:val="24"/>
              </w:rPr>
            </w:pPr>
            <w:r>
              <w:rPr>
                <w:sz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3"/>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8" w:type="dxa"/>
            <w:gridSpan w:val="2"/>
            <w:noWrap w:val="0"/>
            <w:tcMar>
              <w:top w:w="0" w:type="dxa"/>
              <w:left w:w="57" w:type="dxa"/>
              <w:bottom w:w="0" w:type="dxa"/>
              <w:right w:w="57"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89" w:type="dxa"/>
            <w:gridSpan w:val="2"/>
            <w:noWrap w:val="0"/>
            <w:tcMar>
              <w:top w:w="0" w:type="dxa"/>
              <w:left w:w="57" w:type="dxa"/>
              <w:bottom w:w="0" w:type="dxa"/>
              <w:right w:w="57"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gridSpan w:val="2"/>
            <w:vMerge w:val="continue"/>
            <w:noWrap w:val="0"/>
            <w:vAlign w:val="center"/>
          </w:tcPr>
          <w:p>
            <w:pPr>
              <w:spacing w:before="57" w:beforeLines="10" w:after="57" w:afterLines="10" w:line="520" w:lineRule="exact"/>
              <w:rPr>
                <w:sz w:val="24"/>
              </w:rPr>
            </w:pPr>
          </w:p>
        </w:tc>
        <w:tc>
          <w:tcPr>
            <w:tcW w:w="649" w:type="dxa"/>
            <w:vMerge w:val="continue"/>
            <w:noWrap w:val="0"/>
            <w:vAlign w:val="center"/>
          </w:tcPr>
          <w:p>
            <w:pPr>
              <w:spacing w:before="57" w:beforeLines="10" w:after="57" w:afterLines="10" w:line="520" w:lineRule="exact"/>
              <w:rPr>
                <w:sz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其他</w:t>
            </w:r>
          </w:p>
          <w:p>
            <w:pPr>
              <w:spacing w:before="57" w:beforeLines="10" w:after="57" w:afterLines="10" w:line="520" w:lineRule="exact"/>
              <w:jc w:val="center"/>
              <w:rPr>
                <w:sz w:val="24"/>
              </w:rPr>
            </w:pPr>
            <w:r>
              <w:rPr>
                <w:sz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结果</w:t>
            </w:r>
          </w:p>
          <w:p>
            <w:pPr>
              <w:spacing w:before="57" w:beforeLines="10" w:after="57" w:afterLines="10" w:line="520" w:lineRule="exact"/>
              <w:jc w:val="center"/>
              <w:rPr>
                <w:sz w:val="24"/>
              </w:rPr>
            </w:pPr>
            <w:r>
              <w:rPr>
                <w:sz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color w:val="000000"/>
                <w:sz w:val="24"/>
              </w:rPr>
            </w:pPr>
            <w:r>
              <w:rPr>
                <w:color w:val="000000"/>
                <w:sz w:val="24"/>
              </w:rPr>
              <w:t>其他</w:t>
            </w:r>
          </w:p>
          <w:p>
            <w:pPr>
              <w:spacing w:before="57" w:beforeLines="10" w:after="57" w:afterLines="10" w:line="520" w:lineRule="exact"/>
              <w:jc w:val="center"/>
              <w:rPr>
                <w:sz w:val="24"/>
              </w:rPr>
            </w:pPr>
            <w:r>
              <w:rPr>
                <w:color w:val="000000"/>
                <w:sz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sz w:val="24"/>
              </w:rPr>
            </w:pPr>
            <w:r>
              <w:rPr>
                <w:sz w:val="24"/>
              </w:rPr>
              <w:t>尚未</w:t>
            </w:r>
          </w:p>
          <w:p>
            <w:pPr>
              <w:spacing w:before="57" w:beforeLines="10" w:after="57" w:afterLines="10" w:line="520" w:lineRule="exact"/>
              <w:jc w:val="center"/>
              <w:rPr>
                <w:sz w:val="24"/>
              </w:rPr>
            </w:pPr>
            <w:r>
              <w:rPr>
                <w:sz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49" w:type="dxa"/>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gridSpan w:val="3"/>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0"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gridSpan w:val="3"/>
            <w:noWrap w:val="0"/>
            <w:tcMar>
              <w:top w:w="0" w:type="dxa"/>
              <w:left w:w="108" w:type="dxa"/>
              <w:bottom w:w="0" w:type="dxa"/>
              <w:right w:w="108" w:type="dxa"/>
            </w:tcMar>
            <w:vAlign w:val="center"/>
          </w:tcPr>
          <w:p>
            <w:pPr>
              <w:spacing w:before="57" w:beforeLines="10" w:after="57" w:afterLines="10" w:line="280" w:lineRule="exact"/>
              <w:jc w:val="center"/>
              <w:rPr>
                <w:rFonts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gridSpan w:val="2"/>
            <w:noWrap w:val="0"/>
            <w:tcMar>
              <w:top w:w="0" w:type="dxa"/>
              <w:left w:w="108" w:type="dxa"/>
              <w:bottom w:w="0" w:type="dxa"/>
              <w:right w:w="108" w:type="dxa"/>
            </w:tcMar>
            <w:vAlign w:val="center"/>
          </w:tcPr>
          <w:p>
            <w:pPr>
              <w:spacing w:before="57" w:beforeLines="10" w:after="57" w:afterLines="10" w:line="280" w:lineRule="exact"/>
              <w:jc w:val="center"/>
              <w:rPr>
                <w:rFonts w:hint="eastAsia" w:ascii="Times New Roman" w:hAnsi="Times New Roman" w:eastAsia="仿宋_GB2312" w:cs="Times New Roman"/>
                <w:kern w:val="2"/>
                <w:sz w:val="24"/>
                <w:szCs w:val="24"/>
                <w:lang w:val="en-US" w:eastAsia="zh-CN" w:bidi="ar-SA"/>
              </w:rPr>
            </w:pPr>
            <w:r>
              <w:rPr>
                <w:rFonts w:hint="eastAsia"/>
                <w:sz w:val="24"/>
                <w:lang w:val="en-US" w:eastAsia="zh-CN"/>
              </w:rPr>
              <w:t>0</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default" w:ascii="Times New Roman" w:hAnsi="Times New Roman" w:eastAsia="仿宋_GB2312" w:cs="Times New Roman"/>
                <w:kern w:val="2"/>
                <w:sz w:val="24"/>
                <w:szCs w:val="24"/>
                <w:lang w:val="en-US" w:eastAsia="zh-CN" w:bidi="ar-SA"/>
              </w:rPr>
            </w:pPr>
            <w:r>
              <w:rPr>
                <w:rFonts w:hint="eastAsia"/>
                <w:sz w:val="24"/>
                <w:lang w:val="en-US" w:eastAsia="zh-CN"/>
              </w:rPr>
              <w:t>0</w:t>
            </w:r>
          </w:p>
        </w:tc>
      </w:tr>
    </w:tbl>
    <w:p/>
    <w:p>
      <w:pPr>
        <w:shd w:val="clear" w:color="auto" w:fill="FFFFFF"/>
        <w:ind w:firstLine="480"/>
        <w:rPr>
          <w:rFonts w:eastAsia="黑体"/>
          <w:b/>
          <w:bCs/>
          <w:color w:val="333333"/>
        </w:rPr>
      </w:pPr>
      <w:r>
        <w:rPr>
          <w:rFonts w:eastAsia="黑体"/>
          <w:b/>
          <w:bCs/>
          <w:color w:val="333333"/>
        </w:rPr>
        <w:t>五、存在的主要问题及改进情况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在政府信息公开工作中，尽管取得了一定的成效，但</w:t>
      </w:r>
      <w:r>
        <w:rPr>
          <w:rFonts w:hint="eastAsia" w:ascii="仿宋_GB2312" w:hAnsi="仿宋_GB2312" w:eastAsia="仿宋_GB2312" w:cs="仿宋_GB2312"/>
          <w:sz w:val="32"/>
          <w:szCs w:val="32"/>
          <w:lang w:eastAsia="zh-CN"/>
        </w:rPr>
        <w:t>仍然</w:t>
      </w:r>
      <w:r>
        <w:rPr>
          <w:rFonts w:hint="eastAsia" w:ascii="仿宋_GB2312" w:hAnsi="仿宋_GB2312" w:eastAsia="仿宋_GB2312" w:cs="仿宋_GB2312"/>
          <w:sz w:val="32"/>
          <w:szCs w:val="32"/>
        </w:rPr>
        <w:t>存在一些问题</w:t>
      </w:r>
      <w:r>
        <w:rPr>
          <w:rFonts w:hint="eastAsia" w:ascii="仿宋_GB2312" w:hAnsi="仿宋_GB2312" w:eastAsia="仿宋_GB2312" w:cs="仿宋_GB2312"/>
          <w:sz w:val="32"/>
          <w:szCs w:val="32"/>
          <w:lang w:eastAsia="zh-CN"/>
        </w:rPr>
        <w:t>，以至于</w:t>
      </w:r>
      <w:r>
        <w:rPr>
          <w:rFonts w:hint="eastAsia" w:ascii="仿宋_GB2312" w:hAnsi="仿宋_GB2312" w:eastAsia="仿宋_GB2312" w:cs="仿宋_GB2312"/>
          <w:sz w:val="32"/>
          <w:szCs w:val="32"/>
        </w:rPr>
        <w:t>需要公开的内容未能及时公开</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政府信息公开的力度不够，各科室工作人员对政府信息公开的认识不足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二是负责政务公开工作人员身兼数职，无法全身心投入政务公开工作。</w:t>
      </w:r>
      <w:r>
        <w:rPr>
          <w:rFonts w:hint="eastAsia" w:ascii="仿宋_GB2312" w:hAnsi="仿宋_GB2312" w:eastAsia="仿宋_GB2312" w:cs="仿宋_GB2312"/>
          <w:sz w:val="32"/>
          <w:szCs w:val="32"/>
          <w:lang w:eastAsia="zh-CN"/>
        </w:rPr>
        <w:t>以至于</w:t>
      </w:r>
      <w:r>
        <w:rPr>
          <w:rFonts w:hint="eastAsia" w:ascii="仿宋_GB2312" w:hAnsi="仿宋_GB2312" w:eastAsia="仿宋_GB2312" w:cs="仿宋_GB2312"/>
          <w:sz w:val="32"/>
          <w:szCs w:val="32"/>
        </w:rPr>
        <w:t>需要公开的内容未能及时公开</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rPr>
        <w:t>为此我街道下一步工作重点是：</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加强信息联络人员与业务科室有关单位的衔接与沟通，努力将信息收集与公开同步进行，确保信息的及时准确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val="en-US" w:eastAsia="zh-CN"/>
        </w:rPr>
        <w:t>队伍建设以及</w:t>
      </w:r>
      <w:r>
        <w:rPr>
          <w:rFonts w:hint="eastAsia" w:ascii="仿宋_GB2312" w:hAnsi="仿宋_GB2312" w:eastAsia="仿宋_GB2312" w:cs="仿宋_GB2312"/>
          <w:sz w:val="32"/>
          <w:szCs w:val="32"/>
        </w:rPr>
        <w:t>学习培训，提高</w:t>
      </w:r>
      <w:r>
        <w:rPr>
          <w:rFonts w:hint="eastAsia" w:ascii="仿宋_GB2312" w:hAnsi="仿宋_GB2312" w:eastAsia="仿宋_GB2312" w:cs="仿宋_GB2312"/>
          <w:sz w:val="32"/>
          <w:szCs w:val="32"/>
          <w:lang w:val="en-US" w:eastAsia="zh-CN"/>
        </w:rPr>
        <w:t>工作人员对</w:t>
      </w:r>
      <w:r>
        <w:rPr>
          <w:rFonts w:hint="eastAsia" w:ascii="仿宋_GB2312" w:hAnsi="仿宋_GB2312" w:eastAsia="仿宋_GB2312" w:cs="仿宋_GB2312"/>
          <w:sz w:val="32"/>
          <w:szCs w:val="32"/>
        </w:rPr>
        <w:t>信息公开工作的责任意识，积极组织人员参加信息公开工作业务培训，提高信息公开业务水平，建立一支高水平的政府信息公开人员队伍。</w:t>
      </w:r>
    </w:p>
    <w:p>
      <w:pPr>
        <w:shd w:val="clear" w:color="auto" w:fill="FFFFFF"/>
        <w:ind w:firstLine="643" w:firstLineChars="200"/>
        <w:rPr>
          <w:rFonts w:eastAsia="黑体"/>
          <w:b/>
          <w:bCs/>
          <w:color w:val="333333"/>
        </w:rPr>
      </w:pPr>
      <w:r>
        <w:rPr>
          <w:rFonts w:eastAsia="黑体"/>
          <w:b/>
          <w:bCs/>
          <w:color w:val="333333"/>
        </w:rPr>
        <w:t>六、其他需要报告的事项</w:t>
      </w:r>
    </w:p>
    <w:p>
      <w:pPr>
        <w:ind w:firstLine="640" w:firstLineChars="200"/>
        <w:rPr>
          <w:rFonts w:hint="eastAsia"/>
        </w:rPr>
      </w:pPr>
      <w:r>
        <w:rPr>
          <w:rFonts w:hint="eastAsia"/>
          <w:lang w:eastAsia="zh-CN"/>
        </w:rPr>
        <w:t>本单位</w:t>
      </w:r>
      <w:r>
        <w:rPr>
          <w:rFonts w:hint="eastAsia"/>
        </w:rPr>
        <w:t>无其他</w:t>
      </w:r>
      <w:r>
        <w:rPr>
          <w:rFonts w:hint="eastAsia"/>
          <w:lang w:eastAsia="zh-CN"/>
        </w:rPr>
        <w:t>需要</w:t>
      </w:r>
      <w:r>
        <w:rPr>
          <w:rFonts w:hint="eastAsia"/>
        </w:rPr>
        <w:t>报告事项，无收取信息处理费情况。</w:t>
      </w:r>
    </w:p>
    <w:p>
      <w:pPr>
        <w:shd w:val="clear" w:color="auto" w:fill="FFFFFF"/>
        <w:ind w:firstLine="480"/>
        <w:rPr>
          <w:color w:val="333333"/>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kNDlmM2VjYzQ4NGMyMjYxZTJhMTg3MjY1NWY1NjUifQ=="/>
  </w:docVars>
  <w:rsids>
    <w:rsidRoot w:val="6C7F4680"/>
    <w:rsid w:val="108A327C"/>
    <w:rsid w:val="124760D9"/>
    <w:rsid w:val="1FBC0955"/>
    <w:rsid w:val="22651613"/>
    <w:rsid w:val="40707630"/>
    <w:rsid w:val="62391CA2"/>
    <w:rsid w:val="6C7F4680"/>
    <w:rsid w:val="739B5A2E"/>
    <w:rsid w:val="77362412"/>
    <w:rsid w:val="7B6C4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2168</Words>
  <Characters>2250</Characters>
  <Lines>0</Lines>
  <Paragraphs>0</Paragraphs>
  <TotalTime>1</TotalTime>
  <ScaleCrop>false</ScaleCrop>
  <LinksUpToDate>false</LinksUpToDate>
  <CharactersWithSpaces>2250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2022-12-30T08:50:00Z</dcterms:created>
  <dc:creator>Administrator</dc:creator>
  <cp:lastModifiedBy>哆来咪萨拉咪</cp:lastModifiedBy>
  <dcterms:modified xsi:type="dcterms:W3CDTF">2023-01-21T02:25:57Z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DFB88311570A4651B3A1C6C6BB25E593</vt:lpwstr>
  </property>
</Properties>
</file>