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00" w:lineRule="exact"/>
        <w:ind w:firstLine="482" w:firstLineChars="200"/>
        <w:rPr>
          <w:b/>
          <w:bCs/>
          <w:color w:val="333333"/>
          <w:kern w:val="0"/>
          <w:sz w:val="24"/>
        </w:rPr>
      </w:pPr>
    </w:p>
    <w:p>
      <w:pPr>
        <w:widowControl/>
        <w:shd w:val="clear" w:color="auto" w:fill="FFFFFF"/>
        <w:spacing w:line="560" w:lineRule="exact"/>
        <w:jc w:val="center"/>
        <w:rPr>
          <w:rFonts w:hint="eastAsia" w:eastAsia="方正小标宋简体"/>
          <w:color w:val="000000"/>
          <w:kern w:val="0"/>
          <w:sz w:val="44"/>
          <w:szCs w:val="44"/>
          <w:lang w:bidi="ar"/>
        </w:rPr>
      </w:pPr>
      <w:r>
        <w:rPr>
          <w:rFonts w:hint="eastAsia" w:eastAsia="方正小标宋简体"/>
          <w:color w:val="000000"/>
          <w:kern w:val="0"/>
          <w:sz w:val="44"/>
          <w:szCs w:val="44"/>
          <w:lang w:bidi="ar"/>
        </w:rPr>
        <w:t>乐清市教育局202</w:t>
      </w:r>
      <w:r>
        <w:rPr>
          <w:rFonts w:hint="eastAsia" w:eastAsia="方正小标宋简体"/>
          <w:color w:val="000000"/>
          <w:kern w:val="0"/>
          <w:sz w:val="44"/>
          <w:szCs w:val="44"/>
          <w:lang w:val="en-US" w:eastAsia="zh-CN" w:bidi="ar"/>
        </w:rPr>
        <w:t>1</w:t>
      </w:r>
      <w:r>
        <w:rPr>
          <w:rFonts w:hint="eastAsia" w:eastAsia="方正小标宋简体"/>
          <w:color w:val="000000"/>
          <w:kern w:val="0"/>
          <w:sz w:val="44"/>
          <w:szCs w:val="44"/>
          <w:lang w:bidi="ar"/>
        </w:rPr>
        <w:t>年政府信息公开工作年度报告</w:t>
      </w:r>
    </w:p>
    <w:p>
      <w:pPr>
        <w:widowControl/>
        <w:shd w:val="clear" w:color="auto" w:fill="FFFFFF"/>
        <w:spacing w:line="560" w:lineRule="exact"/>
        <w:jc w:val="center"/>
        <w:rPr>
          <w:rFonts w:hint="eastAsia" w:eastAsia="方正小标宋简体"/>
          <w:color w:val="000000"/>
          <w:kern w:val="0"/>
          <w:sz w:val="44"/>
          <w:szCs w:val="44"/>
          <w:lang w:bidi="ar"/>
        </w:rPr>
      </w:pPr>
    </w:p>
    <w:p>
      <w:pPr>
        <w:pStyle w:val="2"/>
        <w:keepNext w:val="0"/>
        <w:keepLines w:val="0"/>
        <w:widowControl/>
        <w:suppressLineNumbers w:val="0"/>
        <w:ind w:left="0" w:firstLine="554" w:firstLineChars="231"/>
        <w:jc w:val="left"/>
        <w:rPr>
          <w:rFonts w:hint="eastAsia" w:ascii="宋体" w:hAnsi="宋体" w:eastAsia="宋体" w:cs="宋体"/>
          <w:sz w:val="24"/>
          <w:szCs w:val="24"/>
        </w:rPr>
      </w:pPr>
      <w:r>
        <w:rPr>
          <w:rFonts w:hint="eastAsia" w:ascii="宋体" w:hAnsi="宋体" w:eastAsia="宋体" w:cs="宋体"/>
          <w:sz w:val="24"/>
          <w:szCs w:val="24"/>
        </w:rPr>
        <w:t>2021年度报告根据新修订《中华人民共和国政府信息公开条例》（以下简称《条例》）的要求，由乐清市教育局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2021年1月1日至2021年12月31日止。报告的电子版可在乐清市政府门户网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"http://www.yueqing.gov.cn/"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http://www.yueqing.gov.cn/</w:t>
      </w:r>
      <w:r>
        <w:rPr>
          <w:rFonts w:hint="eastAsia" w:ascii="宋体" w:hAnsi="宋体" w:eastAsia="宋体" w:cs="宋体"/>
          <w:sz w:val="24"/>
          <w:szCs w:val="24"/>
        </w:rPr>
        <w:fldChar w:fldCharType="end"/>
      </w:r>
      <w:r>
        <w:rPr>
          <w:rFonts w:hint="eastAsia" w:ascii="宋体" w:hAnsi="宋体" w:eastAsia="宋体" w:cs="宋体"/>
          <w:sz w:val="24"/>
          <w:szCs w:val="24"/>
        </w:rPr>
        <w:t>）上下载。如对报告内容有疑问，请与乐清市教育局办公室联系（电话：0577-62522251，电子邮件:yqsjyjbgs@126.com）。</w:t>
      </w:r>
    </w:p>
    <w:p>
      <w:pPr>
        <w:pStyle w:val="2"/>
        <w:keepNext w:val="0"/>
        <w:keepLines w:val="0"/>
        <w:widowControl/>
        <w:suppressLineNumbers w:val="0"/>
        <w:ind w:left="0" w:firstLine="420"/>
        <w:jc w:val="left"/>
        <w:rPr>
          <w:rFonts w:hint="eastAsia" w:ascii="宋体" w:hAnsi="宋体" w:eastAsia="宋体" w:cs="宋体"/>
          <w:sz w:val="24"/>
          <w:szCs w:val="24"/>
        </w:rPr>
      </w:pPr>
      <w:r>
        <w:rPr>
          <w:rFonts w:hint="eastAsia" w:ascii="宋体" w:hAnsi="宋体" w:eastAsia="宋体" w:cs="宋体"/>
          <w:sz w:val="24"/>
          <w:szCs w:val="24"/>
        </w:rPr>
        <w:t>一、总体情况</w:t>
      </w:r>
    </w:p>
    <w:p>
      <w:pPr>
        <w:pStyle w:val="2"/>
        <w:keepNext w:val="0"/>
        <w:keepLines w:val="0"/>
        <w:widowControl/>
        <w:suppressLineNumbers w:val="0"/>
        <w:ind w:left="0" w:firstLine="420"/>
        <w:jc w:val="left"/>
        <w:rPr>
          <w:rFonts w:hint="eastAsia" w:ascii="宋体" w:hAnsi="宋体" w:eastAsia="宋体" w:cs="宋体"/>
        </w:rPr>
      </w:pPr>
      <w:r>
        <w:rPr>
          <w:rFonts w:hint="eastAsia" w:ascii="宋体" w:hAnsi="宋体" w:eastAsia="宋体" w:cs="宋体"/>
        </w:rPr>
        <w:t>(一）主动公开情况</w:t>
      </w:r>
    </w:p>
    <w:p>
      <w:pPr>
        <w:pStyle w:val="2"/>
        <w:keepNext w:val="0"/>
        <w:keepLines w:val="0"/>
        <w:widowControl/>
        <w:suppressLineNumbers w:val="0"/>
        <w:ind w:left="0" w:firstLine="420"/>
        <w:jc w:val="left"/>
        <w:rPr>
          <w:rFonts w:hint="eastAsia" w:ascii="宋体" w:hAnsi="宋体" w:eastAsia="宋体" w:cs="宋体"/>
        </w:rPr>
      </w:pPr>
      <w:r>
        <w:rPr>
          <w:rFonts w:hint="eastAsia" w:ascii="宋体" w:hAnsi="宋体" w:eastAsia="宋体" w:cs="宋体"/>
        </w:rPr>
        <w:t>2021年，本局主动公开政府信息243条，其中主动公开公文类政府信息127条，非公文类政府信息56条。政务微信公开政府信息数 60条，微博微信回应事件数1次；回应公众关注热点或重大舆情数 10余次，及时应对突发事件，主动引导网民关切，推动我市教育事业科学和谐发展。</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（二）依申请公开情况</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2021年共收到各类政府信息公开申请5件，其中1件结转下年度继续办理，其余4件均合法合规予以答复。无行政复议、行政诉讼、纠错情况发生。</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（三）政府信息管理情况</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按照《条例》要求，明确政务信息公开范围、行事、内容，规范信息公开工作流程，严格落实信息公开前的审查机制，细化责任要求，做到政府信息公开工作经常化、制度化、规范化。</w:t>
      </w:r>
    </w:p>
    <w:p>
      <w:pPr>
        <w:pStyle w:val="2"/>
        <w:keepNext w:val="0"/>
        <w:keepLines w:val="0"/>
        <w:widowControl/>
        <w:suppressLineNumbers w:val="0"/>
        <w:ind w:left="0" w:firstLine="420"/>
        <w:jc w:val="left"/>
        <w:rPr>
          <w:rFonts w:hint="eastAsia" w:ascii="宋体" w:hAnsi="宋体" w:eastAsia="宋体" w:cs="宋体"/>
        </w:rPr>
      </w:pPr>
      <w:r>
        <w:rPr>
          <w:rFonts w:hint="eastAsia" w:ascii="宋体" w:hAnsi="宋体" w:eastAsia="宋体" w:cs="宋体"/>
        </w:rPr>
        <w:t>（四）平台建设情况</w:t>
      </w:r>
    </w:p>
    <w:p>
      <w:pPr>
        <w:pStyle w:val="2"/>
        <w:keepNext w:val="0"/>
        <w:keepLines w:val="0"/>
        <w:widowControl/>
        <w:suppressLineNumbers w:val="0"/>
        <w:ind w:left="0" w:firstLine="420"/>
        <w:jc w:val="left"/>
        <w:rPr>
          <w:rFonts w:hint="eastAsia" w:ascii="宋体" w:hAnsi="宋体" w:eastAsia="宋体" w:cs="宋体"/>
        </w:rPr>
      </w:pPr>
      <w:r>
        <w:rPr>
          <w:rFonts w:hint="eastAsia" w:ascii="宋体" w:hAnsi="宋体" w:eastAsia="宋体" w:cs="宋体"/>
        </w:rPr>
        <w:t>2021年，我局认真贯彻落实中央、省、市有关文件和会议精神，召开了2次会议专题研究政府信息公开工作，进一步完善了拟文科室、办公室、局领导三级审核制，进一步建立健全了政府信息主动公开程序、信息更新程序、等各项工作制度。严格按照《</w:t>
      </w:r>
      <w:r>
        <w:rPr>
          <w:rFonts w:hint="eastAsia" w:ascii="宋体" w:hAnsi="宋体" w:eastAsia="宋体" w:cs="宋体"/>
          <w:lang w:eastAsia="zh-CN"/>
        </w:rPr>
        <w:t>中华人民共和国</w:t>
      </w:r>
      <w:bookmarkStart w:id="0" w:name="_GoBack"/>
      <w:bookmarkEnd w:id="0"/>
      <w:r>
        <w:rPr>
          <w:rFonts w:hint="eastAsia" w:ascii="宋体" w:hAnsi="宋体" w:eastAsia="宋体" w:cs="宋体"/>
        </w:rPr>
        <w:t>政府信息公开条例》的要求，加大了力度，强化了主动公开意识，努力将政府信息公开和政务公开、办事公开工作结合起来，围绕便民利民、民生工程，不断深化政务公开内容，采取多种形式及时把社会关注的热点、焦点内容予以公开，积极打造阳光政务。 </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（五）监督保障情况</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在上级信息公开工作管理部门的指导下，进一步健全完善永嘉县发展和改革局政府信息公开工作机制。把履行政务公开职责情况与承办人员业务考核结合起来，进一步健全和完善了有效的监督机制和奖惩制度，为政务公开工作的扎实有效开展提供了强有力的保障。切实加强公开前的审核把关，确保各项准备工作和措施落实到位。加强对信息公开工作的督查指导，建立和完善政府信息发布协调与处理机制，保证信息的及时公开以及准确公开。确保涉密信息不公开、公开信息不涉密。并设立监督电话，自觉接受社会监督。</w:t>
      </w:r>
    </w:p>
    <w:p>
      <w:pPr>
        <w:pStyle w:val="2"/>
        <w:keepNext w:val="0"/>
        <w:keepLines w:val="0"/>
        <w:widowControl/>
        <w:suppressLineNumbers w:val="0"/>
        <w:jc w:val="both"/>
        <w:rPr>
          <w:rFonts w:hint="eastAsia" w:ascii="宋体" w:hAnsi="宋体" w:eastAsia="宋体" w:cs="宋体"/>
        </w:rPr>
      </w:pPr>
    </w:p>
    <w:p>
      <w:pPr>
        <w:shd w:val="clear" w:color="auto" w:fill="FFFFFF"/>
        <w:ind w:firstLine="480"/>
        <w:rPr>
          <w:color w:val="333333"/>
        </w:rPr>
      </w:pP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hd w:val="clear" w:color="auto" w:fill="FFFFFF"/>
              <w:ind w:firstLine="967" w:firstLineChars="301"/>
              <w:rPr>
                <w:color w:val="000000"/>
                <w:sz w:val="24"/>
              </w:rPr>
            </w:pPr>
            <w:r>
              <w:rPr>
                <w:rFonts w:eastAsia="黑体"/>
                <w:b/>
                <w:bCs/>
                <w:color w:val="333333"/>
              </w:rPr>
              <w:t>二、主动公开政府信息情况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w:t>
            </w:r>
            <w:r>
              <w:rPr>
                <w:sz w:val="24"/>
              </w:rPr>
              <w:t>制发件数</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本年废止件数</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规章</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行政规范性文件</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1</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行政许可</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行政处罚</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行政强制</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行政事业性收费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74350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noWrap w:val="0"/>
            <w:tcMar>
              <w:top w:w="0" w:type="dxa"/>
              <w:left w:w="108" w:type="dxa"/>
              <w:bottom w:w="0" w:type="dxa"/>
              <w:right w:w="108" w:type="dxa"/>
            </w:tcMar>
            <w:vAlign w:val="center"/>
          </w:tcPr>
          <w:p>
            <w:pPr>
              <w:spacing w:before="57" w:beforeLines="10" w:after="57" w:afterLines="10" w:line="300" w:lineRule="exact"/>
              <w:rPr>
                <w:sz w:val="24"/>
              </w:rPr>
            </w:pPr>
            <w:r>
              <w:rPr>
                <w:rFonts w:eastAsia="楷体"/>
                <w:sz w:val="24"/>
              </w:rPr>
              <w:t>（本列数据的勾稽关系为：第一项加第二项之和，等于第三项加第四项之和）</w:t>
            </w:r>
          </w:p>
        </w:tc>
        <w:tc>
          <w:tcPr>
            <w:tcW w:w="4818" w:type="dxa"/>
            <w:gridSpan w:val="15"/>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自然人</w:t>
            </w:r>
          </w:p>
        </w:tc>
        <w:tc>
          <w:tcPr>
            <w:tcW w:w="3441" w:type="dxa"/>
            <w:gridSpan w:val="11"/>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法人或其他组织</w:t>
            </w:r>
          </w:p>
        </w:tc>
        <w:tc>
          <w:tcPr>
            <w:tcW w:w="689"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continue"/>
            <w:noWrap w:val="0"/>
            <w:vAlign w:val="center"/>
          </w:tcPr>
          <w:p>
            <w:pPr>
              <w:spacing w:before="57" w:beforeLines="10" w:after="57" w:afterLines="10" w:line="300" w:lineRule="exact"/>
              <w:rPr>
                <w:sz w:val="24"/>
              </w:rPr>
            </w:pP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商业</w:t>
            </w:r>
          </w:p>
          <w:p>
            <w:pPr>
              <w:spacing w:before="57" w:beforeLines="10" w:after="57" w:afterLines="10" w:line="300" w:lineRule="exact"/>
              <w:jc w:val="center"/>
              <w:rPr>
                <w:sz w:val="24"/>
              </w:rPr>
            </w:pPr>
            <w:r>
              <w:rPr>
                <w:sz w:val="24"/>
              </w:rPr>
              <w:t>企业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科研</w:t>
            </w:r>
          </w:p>
          <w:p>
            <w:pPr>
              <w:spacing w:before="57" w:beforeLines="10" w:after="57" w:afterLines="10" w:line="300" w:lineRule="exact"/>
              <w:jc w:val="center"/>
              <w:rPr>
                <w:sz w:val="24"/>
              </w:rPr>
            </w:pPr>
            <w:r>
              <w:rPr>
                <w:sz w:val="24"/>
              </w:rPr>
              <w:t>机构</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社会公益组织</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法律服务机构</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其他</w:t>
            </w:r>
          </w:p>
        </w:tc>
        <w:tc>
          <w:tcPr>
            <w:tcW w:w="689" w:type="dxa"/>
            <w:gridSpan w:val="2"/>
            <w:vMerge w:val="continue"/>
            <w:noWrap w:val="0"/>
            <w:vAlign w:val="center"/>
          </w:tcPr>
          <w:p>
            <w:pPr>
              <w:spacing w:before="57" w:beforeLines="10" w:after="57"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一、本年新收政府信息公开申请数量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5</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二、上年结转政府信息公开申请数量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三、本年度办理结果</w:t>
            </w: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（一）予以公开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4</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4</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（二）部分公开</w:t>
            </w:r>
            <w:r>
              <w:rPr>
                <w:rFonts w:eastAsia="楷体"/>
                <w:sz w:val="24"/>
              </w:rPr>
              <w:t>（区分处理的，只计这一情形，不计其他情形）</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（三）不予公开</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1.属于国家秘密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2.其他法律行政法规禁止公开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3.危及“三安全一稳定”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4.保护第三方合法权益</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5.属于三类内部事务信息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6.属于四类过程性信息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7.属于行政执法案卷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8.属于行政查询事项</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（四）无法提供</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1.本机关不掌握相关政府信息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2.没有现成信息需要另行制作</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3.补正后申请内容仍不明确</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（五）不予处理</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1.信访举报投诉类申请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3.要求提供公开出版物</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4.无正当理由大量反复申请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5.要求行政机关确认或重新出具已获取信息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（六）其他处理</w:t>
            </w: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1.申请人无正当理由逾期不补正、行政机关不再处理其政府信息公开申请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2.申请人逾期未按收费通知要求缴纳费用、行政机关不再处理其政府信息公开申请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3.其他</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（七）总计</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4</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4</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noWrap w:val="0"/>
            <w:tcMar>
              <w:top w:w="0" w:type="dxa"/>
              <w:left w:w="57" w:type="dxa"/>
              <w:bottom w:w="0" w:type="dxa"/>
              <w:right w:w="57" w:type="dxa"/>
            </w:tcMar>
            <w:vAlign w:val="center"/>
          </w:tcPr>
          <w:p>
            <w:pPr>
              <w:spacing w:before="80" w:beforeLines="14" w:after="80" w:afterLines="14" w:line="300" w:lineRule="exact"/>
              <w:rPr>
                <w:sz w:val="24"/>
              </w:rPr>
            </w:pPr>
            <w:r>
              <w:rPr>
                <w:sz w:val="24"/>
              </w:rPr>
              <w:t>四、结转下年度继续办理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四、政府信息公开行政复议、行政诉讼情况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3" w:type="dxa"/>
            <w:gridSpan w:val="19"/>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48" w:type="dxa"/>
            <w:gridSpan w:val="9"/>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eastAsia="zh-CN"/>
              </w:rPr>
            </w:pPr>
            <w:r>
              <w:rPr>
                <w:rFonts w:hint="eastAsia" w:eastAsia="宋体"/>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51" w:type="dxa"/>
            <w:noWrap w:val="0"/>
            <w:tcMar>
              <w:top w:w="0" w:type="dxa"/>
              <w:left w:w="108" w:type="dxa"/>
              <w:bottom w:w="0" w:type="dxa"/>
              <w:right w:w="108" w:type="dxa"/>
            </w:tcMar>
            <w:vAlign w:val="center"/>
          </w:tcPr>
          <w:p>
            <w:pPr>
              <w:spacing w:before="57" w:beforeLines="10" w:after="57" w:afterLines="10" w:line="520" w:lineRule="exact"/>
              <w:rPr>
                <w:rFonts w:hint="eastAsia" w:eastAsia="仿宋_GB2312"/>
                <w:sz w:val="24"/>
                <w:lang w:val="en-US" w:eastAsia="zh-CN"/>
              </w:rPr>
            </w:pPr>
            <w:r>
              <w:rPr>
                <w:rFonts w:hint="eastAsia"/>
                <w:sz w:val="24"/>
                <w:lang w:val="en-US" w:eastAsia="zh-CN"/>
              </w:rPr>
              <w:t>0</w:t>
            </w:r>
          </w:p>
        </w:tc>
      </w:tr>
    </w:tbl>
    <w:p/>
    <w:p>
      <w:pPr>
        <w:shd w:val="clear" w:color="auto" w:fill="FFFFFF"/>
        <w:ind w:firstLine="480"/>
        <w:rPr>
          <w:rFonts w:eastAsia="黑体"/>
          <w:b/>
          <w:bCs/>
          <w:color w:val="333333"/>
        </w:rPr>
      </w:pPr>
      <w:r>
        <w:rPr>
          <w:rFonts w:eastAsia="黑体"/>
          <w:b/>
          <w:bCs/>
          <w:color w:val="333333"/>
        </w:rPr>
        <w:t>五、存在的主要问题及改进情况</w:t>
      </w:r>
    </w:p>
    <w:p>
      <w:pPr>
        <w:pStyle w:val="2"/>
        <w:keepNext w:val="0"/>
        <w:keepLines w:val="0"/>
        <w:widowControl/>
        <w:suppressLineNumbers w:val="0"/>
        <w:ind w:firstLine="480" w:firstLineChars="200"/>
        <w:jc w:val="left"/>
      </w:pPr>
      <w:r>
        <w:t>我局政府信息公开工作还存在着一些问题</w:t>
      </w:r>
      <w:r>
        <w:rPr>
          <w:rFonts w:hint="eastAsia"/>
          <w:lang w:val="en-US" w:eastAsia="zh-CN"/>
        </w:rPr>
        <w:t>:</w:t>
      </w:r>
      <w:r>
        <w:rPr>
          <w:color w:val="000000"/>
        </w:rPr>
        <w:t>1.对信息公开工作认识不足，政务公开的服务意识和主动性不高；2.信息公开工作存在薄弱环节，对信息公开工作的时效性、连续性重视不够；3.信息公开的队伍建设需进一步优化；4.政府信息公开内容不够丰富、公开形式过于单一、公开数量较少</w:t>
      </w:r>
      <w:r>
        <w:t>。为此，20</w:t>
      </w:r>
      <w:r>
        <w:rPr>
          <w:rFonts w:hint="eastAsia"/>
          <w:lang w:val="en-US" w:eastAsia="zh-CN"/>
        </w:rPr>
        <w:t>22</w:t>
      </w:r>
      <w:r>
        <w:t>年我局将认真抓好以下五个方面的工作：</w:t>
      </w:r>
      <w:r>
        <w:rPr>
          <w:color w:val="000000"/>
        </w:rPr>
        <w:t>坚持以社会需求为导向，继续重点推进与社会发展和群众生活密切相关的政府信息公开；进一步及时、规范做好公文类政府信息公开工作；以政府信息公开带动办事公开，以办事公开带动便民服务，进一步推动政府信息公开与网上办事工作的结合。</w:t>
      </w:r>
    </w:p>
    <w:p>
      <w:pPr>
        <w:pStyle w:val="2"/>
        <w:keepNext w:val="0"/>
        <w:keepLines w:val="0"/>
        <w:widowControl/>
        <w:suppressLineNumbers w:val="0"/>
        <w:jc w:val="left"/>
      </w:pPr>
    </w:p>
    <w:p>
      <w:pPr>
        <w:shd w:val="clear" w:color="auto" w:fill="FFFFFF"/>
        <w:ind w:firstLine="480"/>
        <w:rPr>
          <w:rFonts w:eastAsia="黑体"/>
          <w:b/>
          <w:bCs/>
          <w:color w:val="333333"/>
        </w:rPr>
      </w:pPr>
      <w:r>
        <w:rPr>
          <w:rFonts w:eastAsia="黑体"/>
          <w:b/>
          <w:bCs/>
          <w:color w:val="333333"/>
        </w:rPr>
        <w:t>六、其他需要报告的事项</w:t>
      </w:r>
    </w:p>
    <w:p>
      <w:pPr>
        <w:pStyle w:val="2"/>
        <w:keepNext w:val="0"/>
        <w:keepLines w:val="0"/>
        <w:widowControl/>
        <w:suppressLineNumbers w:val="0"/>
        <w:ind w:left="0" w:firstLine="420"/>
        <w:jc w:val="left"/>
      </w:pPr>
      <w:r>
        <w:rPr>
          <w:rFonts w:ascii="sans-serif" w:hAnsi="sans-serif" w:eastAsia="sans-serif" w:cs="sans-serif"/>
          <w:sz w:val="24"/>
          <w:szCs w:val="24"/>
        </w:rPr>
        <w:t>本单位无其他需要报告的事项，无收取信息处理费情况。</w:t>
      </w:r>
    </w:p>
    <w:p>
      <w:pPr>
        <w:tabs>
          <w:tab w:val="left" w:pos="7644"/>
        </w:tabs>
        <w:spacing w:line="560" w:lineRule="exact"/>
        <w:rPr>
          <w:szCs w:val="32"/>
        </w:rPr>
      </w:pPr>
    </w:p>
    <w:p>
      <w:pPr>
        <w:tabs>
          <w:tab w:val="left" w:pos="7644"/>
        </w:tabs>
        <w:spacing w:line="560" w:lineRule="exact"/>
        <w:rPr>
          <w:szCs w:val="32"/>
        </w:rPr>
      </w:pPr>
    </w:p>
    <w:p>
      <w:r>
        <w:rPr>
          <w:rFonts w:eastAsia="黑体"/>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N2QxNjVlYmE4MzU1M2I2MWQ3NjY5MjRiYWVjYzYifQ=="/>
    <w:docVar w:name="KSO_WPS_MARK_KEY" w:val="59ac47cf-efb9-4a5c-b2e8-28c9838c9add"/>
  </w:docVars>
  <w:rsids>
    <w:rsidRoot w:val="00000000"/>
    <w:rsid w:val="022A58C3"/>
    <w:rsid w:val="15B33F85"/>
    <w:rsid w:val="188E75F7"/>
    <w:rsid w:val="2322375E"/>
    <w:rsid w:val="28F9286B"/>
    <w:rsid w:val="2E631970"/>
    <w:rsid w:val="2FF63FA8"/>
    <w:rsid w:val="34D65F64"/>
    <w:rsid w:val="37496F21"/>
    <w:rsid w:val="3CEF40CE"/>
    <w:rsid w:val="4C6D1EBE"/>
    <w:rsid w:val="50C342D4"/>
    <w:rsid w:val="56ED4835"/>
    <w:rsid w:val="588673C8"/>
    <w:rsid w:val="61335F29"/>
    <w:rsid w:val="6F51416E"/>
    <w:rsid w:val="6F96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line="420" w:lineRule="atLeast"/>
      <w:ind w:left="0" w:right="0"/>
      <w:jc w:val="left"/>
    </w:pPr>
    <w:rPr>
      <w:kern w:val="0"/>
      <w:sz w:val="24"/>
      <w:lang w:val="en-US" w:eastAsia="zh-CN" w:bidi="ar"/>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2233</Words>
  <Characters>2350</Characters>
  <Lines>0</Lines>
  <Paragraphs>0</Paragraphs>
  <TotalTime>173</TotalTime>
  <ScaleCrop>false</ScaleCrop>
  <LinksUpToDate>false</LinksUpToDate>
  <CharactersWithSpaces>2556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2021-12-31T02:10:00Z</dcterms:created>
  <dc:creator>Administrator</dc:creator>
  <cp:lastModifiedBy>Reaction</cp:lastModifiedBy>
  <dcterms:modified xsi:type="dcterms:W3CDTF">2024-03-26T02:34:29Z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9DE8F86107F24D579D871BF654FD148E</vt:lpwstr>
  </property>
</Properties>
</file>