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微软雅黑" w:hAnsi="微软雅黑"/>
          <w:b/>
          <w:color w:val="000000"/>
          <w:sz w:val="44"/>
          <w:szCs w:val="44"/>
        </w:rPr>
      </w:pPr>
      <w:r>
        <w:rPr>
          <w:rFonts w:hint="eastAsia" w:ascii="微软雅黑" w:hAnsi="微软雅黑"/>
          <w:b/>
          <w:color w:val="000000"/>
          <w:sz w:val="44"/>
          <w:szCs w:val="44"/>
        </w:rPr>
        <w:t>乐清市白石街道办事处2022年政府信息公开工作年度报告</w:t>
      </w:r>
    </w:p>
    <w:p>
      <w:pPr>
        <w:shd w:val="clear" w:color="auto" w:fill="FFFFFF"/>
        <w:spacing w:line="360" w:lineRule="auto"/>
        <w:ind w:firstLine="550" w:firstLineChars="250"/>
        <w:rPr>
          <w:rFonts w:cs="Times New Roman"/>
          <w:color w:val="333333"/>
        </w:rPr>
      </w:pPr>
      <w:r>
        <w:rPr>
          <w:rFonts w:hint="eastAsia" w:cs="Times New Roman"/>
          <w:color w:val="333333"/>
        </w:rPr>
        <w:t>2022年度报告根据新修订《中华人民共和国政府信息公开条例》（以下简称《条例》）的要求，由乐清市人民政府白石街道办事处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2022年1月1日至2022年12月31日止。报告的电子版可在乐清市政府门户网站（http://www.yueqing.gov.cn/）上下载。如对报告内容有疑问，请与乐清市人民政府白石街道办事处党政办联系（电话：0577-62688011,电子邮件：yqbsjd@163.com）</w:t>
      </w:r>
    </w:p>
    <w:p>
      <w:pPr>
        <w:shd w:val="clear" w:color="auto" w:fill="FFFFFF"/>
        <w:spacing w:line="360" w:lineRule="auto"/>
        <w:ind w:firstLine="482"/>
        <w:rPr>
          <w:rFonts w:cs="Times New Roman"/>
          <w:color w:val="333333"/>
        </w:rPr>
      </w:pPr>
      <w:r>
        <w:rPr>
          <w:rFonts w:hint="eastAsia" w:cs="Times New Roman"/>
          <w:color w:val="333333"/>
        </w:rPr>
        <w:t>一、总体情况</w:t>
      </w:r>
    </w:p>
    <w:p>
      <w:pPr>
        <w:shd w:val="clear" w:color="auto" w:fill="FFFFFF"/>
        <w:spacing w:line="360" w:lineRule="auto"/>
        <w:ind w:firstLine="482"/>
        <w:rPr>
          <w:rFonts w:hint="eastAsia" w:cs="Times New Roman"/>
          <w:color w:val="333333"/>
        </w:rPr>
      </w:pPr>
      <w:r>
        <w:rPr>
          <w:rFonts w:hint="eastAsia" w:cs="Times New Roman"/>
          <w:color w:val="333333"/>
        </w:rPr>
        <w:t>（一）</w:t>
      </w:r>
      <w:r>
        <w:rPr>
          <w:rFonts w:cs="Times New Roman"/>
          <w:color w:val="333333"/>
        </w:rPr>
        <w:t>健全工作机构。为确保信息公开工作落到实处，成立了</w:t>
      </w:r>
      <w:r>
        <w:rPr>
          <w:rFonts w:hint="eastAsia" w:cs="Times New Roman"/>
          <w:color w:val="333333"/>
        </w:rPr>
        <w:t>白石</w:t>
      </w:r>
      <w:r>
        <w:rPr>
          <w:rFonts w:cs="Times New Roman"/>
          <w:color w:val="333333"/>
        </w:rPr>
        <w:t>街道信息公开领导小组，下设办公室，设在党政办公室，并指定专门人员管理此项工作，积极与上级对接，形成了上下联动、覆盖面广的信息公开网络体系，保证了2022年政府信息公开工作的有序推进，并取得较好成绩。</w:t>
      </w:r>
    </w:p>
    <w:p>
      <w:pPr>
        <w:shd w:val="clear" w:color="auto" w:fill="FFFFFF"/>
        <w:spacing w:line="360" w:lineRule="auto"/>
        <w:ind w:firstLine="482"/>
        <w:rPr>
          <w:rFonts w:cs="Times New Roman"/>
          <w:color w:val="333333"/>
        </w:rPr>
      </w:pPr>
      <w:r>
        <w:rPr>
          <w:rFonts w:hint="eastAsia" w:cs="Times New Roman"/>
          <w:color w:val="333333"/>
        </w:rPr>
        <w:t>（二）</w:t>
      </w:r>
      <w:r>
        <w:rPr>
          <w:rFonts w:cs="Times New Roman"/>
          <w:color w:val="333333"/>
        </w:rPr>
        <w:t>严格工作制度。</w:t>
      </w:r>
      <w:r>
        <w:rPr>
          <w:rFonts w:hint="eastAsia" w:cs="Times New Roman"/>
          <w:color w:val="333333"/>
        </w:rPr>
        <w:t>街道十分重视政府信息公开制度建设，把制度建设作为推动政府信息公开工作的突破口，积极探索、逐步完善，努力形成街道政府信息工作长效机制。为更好贯彻落实政务公开工作，街道完善了《乐清市白石街道信息公开指南》，建立健全了《政府信息公开保密审查制度》、《政府信息公开发布审核制度》等相关制度，确保政府信息公开有规可依、有章可循，促进政府信息公开走上规范性、制度化轨道。在信息公开工作中严格遵循 “谁审查、谁负责，谁发布、谁负责，先审查、后发布”和“涉密信息不上网，上网信息不涉密”的原则，确保政务公开内容无涉及国家秘密和内部敏感事项。根据市</w:t>
      </w:r>
      <w:r>
        <w:rPr>
          <w:rFonts w:hint="eastAsia" w:cs="Times New Roman"/>
          <w:color w:val="333333"/>
          <w:lang w:eastAsia="zh-CN"/>
        </w:rPr>
        <w:t>政</w:t>
      </w:r>
      <w:bookmarkStart w:id="0" w:name="_GoBack"/>
      <w:bookmarkEnd w:id="0"/>
      <w:r>
        <w:rPr>
          <w:rFonts w:hint="eastAsia" w:cs="Times New Roman"/>
          <w:color w:val="333333"/>
        </w:rPr>
        <w:t>府政务公开办的工作要求，抓好政府信息公开工作的年度报告制度的落实，及时在政府门户网站上公开政府信息公开工作的年度报告，接受公众监督。</w:t>
      </w:r>
    </w:p>
    <w:p>
      <w:pPr>
        <w:shd w:val="clear" w:color="auto" w:fill="FFFFFF"/>
        <w:spacing w:line="360" w:lineRule="auto"/>
        <w:ind w:firstLine="482"/>
        <w:rPr>
          <w:rFonts w:hint="eastAsia" w:cs="Times New Roman"/>
          <w:color w:val="333333"/>
        </w:rPr>
      </w:pPr>
      <w:r>
        <w:rPr>
          <w:rFonts w:hint="eastAsia" w:cs="Times New Roman"/>
          <w:color w:val="333333"/>
        </w:rPr>
        <w:t>（三）2022年，我街道公开的政府信息主要包括信息公开指南、机构设置、部门文件、规划计划、人事任免、社会救助、财政信息、防疫专题、政策解读等。今年共主动公开信息36条，其中部门文件3条，人事任免文件2条，财政信息3条，政策解读2条，其他政府信息主动公开26条。白石街道在政务公开工作的推进中，突出涉及群众关心、社会关注的人事任免、财政信息、社会救助等问题，做到让群众知晓、让群众监督、让群众参与，保证信息公开的透明度。</w:t>
      </w:r>
    </w:p>
    <w:p>
      <w:pPr>
        <w:shd w:val="clear" w:color="auto" w:fill="FFFFFF"/>
        <w:spacing w:line="360" w:lineRule="auto"/>
        <w:ind w:firstLine="482"/>
        <w:rPr>
          <w:rFonts w:asciiTheme="minorEastAsia" w:hAnsiTheme="minorEastAsia" w:eastAsiaTheme="minorEastAsia"/>
          <w:bCs/>
          <w:color w:val="333333"/>
          <w:sz w:val="28"/>
          <w:szCs w:val="28"/>
        </w:rPr>
      </w:pPr>
      <w:r>
        <w:rPr>
          <w:rFonts w:hint="eastAsia" w:cs="Times New Roman"/>
          <w:color w:val="333333"/>
        </w:rPr>
        <w:t>（四）拓宽信息公开渠道，方便群众了解信息。以乐清市政务门户网站为载体，加大宣传力度，营造良好氛围，确保政府信息公开工作依法有序开展。我街道主要通过市政务公开网、街道宣传栏、村政务信息公开栏等途径公开政府信息，并在党政办、便民服务中心设立了信息查阅点，方便群众了解、查询政府工作的开展情况。</w:t>
      </w:r>
      <w:r>
        <w:rPr>
          <w:rFonts w:hint="eastAsia" w:asciiTheme="minorEastAsia" w:hAnsiTheme="minorEastAsia" w:eastAsiaTheme="minorEastAsia"/>
          <w:bCs/>
          <w:color w:val="333333"/>
          <w:sz w:val="28"/>
          <w:szCs w:val="28"/>
        </w:rPr>
        <w:t xml:space="preserve"> </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jc w:val="center"/>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71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spacing w:line="360" w:lineRule="auto"/>
        <w:rPr>
          <w:rFonts w:ascii="微软雅黑" w:hAnsi="微软雅黑" w:cs="微软雅黑"/>
          <w:bCs/>
          <w:color w:val="333333"/>
        </w:rPr>
      </w:pP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三、收到和处理政府信息公开申请情况</w:t>
      </w:r>
    </w:p>
    <w:tbl>
      <w:tblPr>
        <w:tblStyle w:val="5"/>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1"/>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商业</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科研</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p>
        </w:tc>
        <w:tc>
          <w:tcPr>
            <w:tcW w:w="689" w:type="dxa"/>
            <w:vMerge w:val="continue"/>
            <w:tcBorders>
              <w:top w:val="single"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spacing w:line="360" w:lineRule="auto"/>
        <w:rPr>
          <w:rFonts w:ascii="微软雅黑" w:hAnsi="微软雅黑" w:cs="微软雅黑"/>
          <w:bCs/>
          <w:color w:val="333333"/>
        </w:rPr>
      </w:pP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四、政府信息公开行政复议、行政诉讼情况</w:t>
      </w:r>
    </w:p>
    <w:tbl>
      <w:tblPr>
        <w:tblStyle w:val="5"/>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ind w:firstLine="440" w:firstLineChars="200"/>
        <w:rPr>
          <w:rFonts w:hint="eastAsia" w:ascii="微软雅黑" w:hAnsi="微软雅黑" w:cs="Times New Roman"/>
          <w:bCs/>
          <w:color w:val="333333"/>
        </w:rPr>
      </w:pPr>
    </w:p>
    <w:p>
      <w:pPr>
        <w:shd w:val="clear" w:color="auto" w:fill="FFFFFF"/>
        <w:ind w:firstLine="440" w:firstLineChars="200"/>
        <w:rPr>
          <w:rFonts w:ascii="微软雅黑" w:hAnsi="微软雅黑" w:cs="Times New Roman"/>
          <w:bCs/>
          <w:color w:val="333333"/>
        </w:rPr>
      </w:pPr>
      <w:r>
        <w:rPr>
          <w:rFonts w:ascii="微软雅黑" w:hAnsi="微软雅黑" w:cs="Times New Roman"/>
          <w:bCs/>
          <w:color w:val="333333"/>
        </w:rPr>
        <w:t>五、存在的主要问题及改进情况</w:t>
      </w:r>
    </w:p>
    <w:p>
      <w:pPr>
        <w:shd w:val="clear" w:color="auto" w:fill="FFFFFF"/>
        <w:spacing w:line="360" w:lineRule="auto"/>
        <w:ind w:firstLine="482"/>
        <w:rPr>
          <w:rFonts w:cs="Times New Roman"/>
          <w:color w:val="333333"/>
        </w:rPr>
      </w:pPr>
      <w:r>
        <w:rPr>
          <w:rFonts w:cs="Times New Roman"/>
          <w:color w:val="333333"/>
        </w:rPr>
        <w:t>2022年，</w:t>
      </w:r>
      <w:r>
        <w:rPr>
          <w:rFonts w:hint="eastAsia" w:cs="Times New Roman"/>
          <w:color w:val="333333"/>
        </w:rPr>
        <w:t>街道</w:t>
      </w:r>
      <w:r>
        <w:rPr>
          <w:rFonts w:cs="Times New Roman"/>
          <w:color w:val="333333"/>
        </w:rPr>
        <w:t>政府信息公开工作虽取得了积极成效，但也存在一些不足。主要有:一是公开信息的收集、上传、更新力度不够，主动公开的信息数量还不够多;二是信息公开工作机构与产生信息的部门之间协调联系不够，一些本应该公开的信息没有能够及时地收集、整理、上传和发布。三是宣传培训力度不大，一些群众对政府信息公开工作还不够清楚，部分干部对政府信息公开的认识有待深化;四是政府信息公开的制度化和规范化有待进一步加强;五是信息公开的尺度难以掌握。</w:t>
      </w:r>
    </w:p>
    <w:p>
      <w:pPr>
        <w:shd w:val="clear" w:color="auto" w:fill="FFFFFF"/>
        <w:spacing w:line="360" w:lineRule="auto"/>
        <w:ind w:firstLine="482"/>
        <w:rPr>
          <w:rFonts w:cs="Times New Roman"/>
          <w:color w:val="333333"/>
        </w:rPr>
      </w:pPr>
      <w:r>
        <w:rPr>
          <w:rFonts w:hint="eastAsia" w:cs="Times New Roman"/>
          <w:color w:val="333333"/>
        </w:rPr>
        <w:t>2023年，我们针对困难和问题，将在以下几方面努力改进：</w:t>
      </w:r>
      <w:r>
        <w:rPr>
          <w:rFonts w:cs="Times New Roman"/>
          <w:color w:val="333333"/>
        </w:rPr>
        <w:t>一</w:t>
      </w:r>
      <w:r>
        <w:rPr>
          <w:rFonts w:hint="eastAsia" w:cs="Times New Roman"/>
          <w:color w:val="333333"/>
        </w:rPr>
        <w:t>是</w:t>
      </w:r>
      <w:r>
        <w:rPr>
          <w:rFonts w:cs="Times New Roman"/>
          <w:color w:val="333333"/>
        </w:rPr>
        <w:t>进一步明确工作职责，加大工作力度，不断扩大信息公开量；加强制度建设，健全和完善受理依申请公开办理程序制度、保密监督管理制度等；进一步规范信息公开流程，提高申请处理效率，使政府信息公开工作制度化、规范化；进一步完善信息公开答复格式，在答复依申请公开件时按照规范格式，答复内容多适用法律依据，做到有理有据。</w:t>
      </w:r>
      <w:r>
        <w:rPr>
          <w:rFonts w:hint="eastAsia" w:cs="Times New Roman"/>
          <w:color w:val="333333"/>
        </w:rPr>
        <w:t>二是</w:t>
      </w:r>
      <w:r>
        <w:rPr>
          <w:rFonts w:cs="Times New Roman"/>
          <w:color w:val="333333"/>
        </w:rPr>
        <w:t>进一步深化公开意识。加大宣传培训力度，尤其加强《条例》学习，增进干部群众对政府信息公开工作的了解，规范推进政府信息公开。</w:t>
      </w:r>
      <w:r>
        <w:rPr>
          <w:rFonts w:hint="eastAsia" w:cs="Times New Roman"/>
          <w:color w:val="333333"/>
        </w:rPr>
        <w:t>三是</w:t>
      </w:r>
      <w:r>
        <w:rPr>
          <w:rFonts w:cs="Times New Roman"/>
          <w:color w:val="333333"/>
        </w:rPr>
        <w:t>进一步提高公开形式的便民性。进一步推进电子政务建设，发挥信息化网络优势，为人民群众提供更多、更及时、更全面的信息查阅手段，拓展适合群众查阅的公开形式，增强群众查询政府信息的便利性。</w:t>
      </w:r>
    </w:p>
    <w:p>
      <w:pPr>
        <w:shd w:val="clear" w:color="auto" w:fill="FFFFFF"/>
        <w:ind w:firstLine="480"/>
        <w:rPr>
          <w:rFonts w:ascii="微软雅黑" w:hAnsi="微软雅黑" w:cs="Times New Roman"/>
          <w:bCs/>
          <w:color w:val="333333"/>
        </w:rPr>
      </w:pPr>
      <w:r>
        <w:rPr>
          <w:rFonts w:ascii="微软雅黑" w:hAnsi="微软雅黑" w:cs="Times New Roman"/>
          <w:bCs/>
          <w:color w:val="333333"/>
        </w:rPr>
        <w:t>六、其他需要报告的事项</w:t>
      </w:r>
    </w:p>
    <w:p>
      <w:pPr>
        <w:spacing w:line="220" w:lineRule="atLeast"/>
        <w:ind w:firstLine="440" w:firstLineChars="200"/>
        <w:rPr>
          <w:rFonts w:cs="Times New Roman"/>
          <w:color w:val="333333"/>
        </w:rPr>
      </w:pPr>
      <w:r>
        <w:rPr>
          <w:rFonts w:hint="eastAsia" w:cs="Times New Roman"/>
          <w:color w:val="333333"/>
        </w:rPr>
        <w:t>本单位</w:t>
      </w:r>
      <w:r>
        <w:rPr>
          <w:rFonts w:cs="Times New Roman"/>
          <w:color w:val="333333"/>
        </w:rPr>
        <w:t>无其他需要报告的事项，</w:t>
      </w:r>
      <w:r>
        <w:rPr>
          <w:rFonts w:hint="eastAsia" w:cs="Times New Roman"/>
          <w:color w:val="333333"/>
        </w:rPr>
        <w:t>无收取信息处理费情况。</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displayHorizontalDrawingGridEvery w:val="0"/>
  <w:displayVerticalDrawingGridEvery w:val="2"/>
  <w:characterSpacingControl w:val="doNotCompress"/>
  <w:footnotePr>
    <w:footnote w:id="0"/>
    <w:footnote w:id="1"/>
  </w:footnotePr>
  <w:compat>
    <w:balanceSingleByteDoubleByteWidth/>
    <w:doNotExpandShiftReturn/>
    <w:adjustLineHeightInTable/>
    <w:useFELayout/>
    <w:doNotUseIndentAsNumberingTabStop/>
    <w:compatSetting w:name="compatibilityMode" w:uri="http://schemas.microsoft.com/office/word" w:val="12"/>
  </w:compat>
  <w:docVars>
    <w:docVar w:name="commondata" w:val="eyJoZGlkIjoiZWE2ZWYzMGI0ZWQ1M2U2NTNhMmU0MzEwY2EzNWQyODUifQ=="/>
  </w:docVars>
  <w:rsids>
    <w:rsidRoot w:val="00D31D50"/>
    <w:rsid w:val="00007972"/>
    <w:rsid w:val="00276BC6"/>
    <w:rsid w:val="00323B43"/>
    <w:rsid w:val="0035279D"/>
    <w:rsid w:val="00392A0C"/>
    <w:rsid w:val="00396942"/>
    <w:rsid w:val="003B2835"/>
    <w:rsid w:val="003C3971"/>
    <w:rsid w:val="003D37D8"/>
    <w:rsid w:val="003E0BA7"/>
    <w:rsid w:val="00426133"/>
    <w:rsid w:val="004358AB"/>
    <w:rsid w:val="00495CAC"/>
    <w:rsid w:val="00711A33"/>
    <w:rsid w:val="007A0F49"/>
    <w:rsid w:val="007E28EC"/>
    <w:rsid w:val="007F1D17"/>
    <w:rsid w:val="00822CC0"/>
    <w:rsid w:val="00842397"/>
    <w:rsid w:val="00844CD8"/>
    <w:rsid w:val="008B7726"/>
    <w:rsid w:val="00926F23"/>
    <w:rsid w:val="00A71620"/>
    <w:rsid w:val="00A8453F"/>
    <w:rsid w:val="00B66F07"/>
    <w:rsid w:val="00B74459"/>
    <w:rsid w:val="00BB61CF"/>
    <w:rsid w:val="00C00C6B"/>
    <w:rsid w:val="00C8141A"/>
    <w:rsid w:val="00D31D50"/>
    <w:rsid w:val="00DC6122"/>
    <w:rsid w:val="00E11A6B"/>
    <w:rsid w:val="00E36F4C"/>
    <w:rsid w:val="00EE1FB9"/>
    <w:rsid w:val="00F57326"/>
    <w:rsid w:val="00FD66C0"/>
    <w:rsid w:val="57E63025"/>
    <w:rsid w:val="6DAA2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widowControl w:val="0"/>
      <w:spacing w:beforeAutospacing="1" w:after="0" w:afterAutospacing="1"/>
    </w:pPr>
    <w:rPr>
      <w:rFonts w:ascii="Calibri" w:hAnsi="Calibri" w:eastAsia="宋体" w:cs="Times New Roman"/>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8FEF27-8D23-4048-9D6E-BD532044E3B9}">
  <ds:schemaRefs/>
</ds:datastoreItem>
</file>

<file path=docProps/app.xml><?xml version="1.0" encoding="utf-8"?>
<Properties xmlns="http://schemas.openxmlformats.org/officeDocument/2006/extended-properties" xmlns:vt="http://schemas.openxmlformats.org/officeDocument/2006/docPropsVTypes">
  <Template>Normal</Template>
  <Pages>6</Pages>
  <Words>2584</Words>
  <Characters>2683</Characters>
  <Lines>22</Lines>
  <Paragraphs>6</Paragraphs>
  <TotalTime>48</TotalTime>
  <ScaleCrop>false</ScaleCrop>
  <LinksUpToDate>false</LinksUpToDate>
  <CharactersWithSpaces>2811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2023-01-12T07:39:00Z</dcterms:created>
  <dc:creator>Administrator</dc:creator>
  <cp:lastModifiedBy>Administrator</cp:lastModifiedBy>
  <dcterms:modified xsi:type="dcterms:W3CDTF">2023-01-17T02:58:29Z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703BF7D1DC3B4A17BDEDE761734F4D79</vt:lpwstr>
  </property>
</Properties>
</file>