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cs="仿宋_GB2312"/>
          <w:color w:val="000000"/>
          <w:kern w:val="0"/>
          <w:sz w:val="36"/>
          <w:szCs w:val="36"/>
        </w:rPr>
      </w:pPr>
      <w:r>
        <w:rPr>
          <w:rFonts w:hint="eastAsia" w:ascii="方正小标宋简体" w:eastAsia="方正小标宋简体" w:cs="仿宋_GB2312"/>
          <w:color w:val="000000"/>
          <w:kern w:val="0"/>
          <w:sz w:val="36"/>
          <w:szCs w:val="36"/>
          <w:lang w:eastAsia="zh-CN"/>
        </w:rPr>
        <w:t>乐清</w:t>
      </w:r>
      <w:r>
        <w:rPr>
          <w:rFonts w:hint="eastAsia" w:ascii="方正小标宋简体" w:eastAsia="方正小标宋简体" w:cs="仿宋_GB2312"/>
          <w:color w:val="000000"/>
          <w:kern w:val="0"/>
          <w:sz w:val="36"/>
          <w:szCs w:val="36"/>
        </w:rPr>
        <w:t>市中小学体育大课间规范化学校标准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kern w:val="0"/>
          <w:sz w:val="28"/>
          <w:szCs w:val="28"/>
          <w:lang w:eastAsia="zh-CN"/>
        </w:rPr>
      </w:pPr>
      <w:r>
        <w:rPr>
          <w:rFonts w:hint="eastAsia" w:ascii="仿宋_GB2312" w:hAnsi="仿宋_GB2312" w:eastAsia="仿宋_GB2312" w:cs="仿宋_GB2312"/>
          <w:b w:val="0"/>
          <w:bCs/>
          <w:kern w:val="0"/>
          <w:sz w:val="28"/>
          <w:szCs w:val="28"/>
          <w:lang w:eastAsia="zh-CN"/>
        </w:rPr>
        <w:t>（由学区</w:t>
      </w:r>
      <w:r>
        <w:rPr>
          <w:rFonts w:hint="eastAsia" w:ascii="仿宋_GB2312" w:hAnsi="仿宋_GB2312" w:eastAsia="仿宋_GB2312" w:cs="仿宋_GB2312"/>
          <w:b w:val="0"/>
          <w:bCs/>
          <w:kern w:val="0"/>
          <w:sz w:val="28"/>
          <w:szCs w:val="28"/>
          <w:lang w:val="en-US" w:eastAsia="zh-CN"/>
        </w:rPr>
        <w:t>初选，乐清终评</w:t>
      </w:r>
      <w:r>
        <w:rPr>
          <w:rFonts w:hint="eastAsia" w:ascii="仿宋_GB2312" w:hAnsi="仿宋_GB2312" w:eastAsia="仿宋_GB2312" w:cs="仿宋_GB2312"/>
          <w:b w:val="0"/>
          <w:bCs/>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1.组织机构（10分）：</w:t>
      </w:r>
      <w:r>
        <w:rPr>
          <w:rFonts w:hint="eastAsia" w:ascii="仿宋_GB2312" w:hAnsi="仿宋_GB2312" w:eastAsia="仿宋_GB2312" w:cs="仿宋_GB2312"/>
          <w:kern w:val="0"/>
          <w:sz w:val="32"/>
          <w:szCs w:val="32"/>
        </w:rPr>
        <w:t>成立由校领导任组长，相关人员组成的大课间工作领导小组，领导小组分工明确；</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2.顶层设计（10分）:</w:t>
      </w:r>
      <w:r>
        <w:rPr>
          <w:rFonts w:hint="eastAsia" w:ascii="仿宋_GB2312" w:hAnsi="仿宋_GB2312" w:eastAsia="仿宋_GB2312" w:cs="仿宋_GB2312"/>
          <w:kern w:val="0"/>
          <w:sz w:val="32"/>
          <w:szCs w:val="32"/>
        </w:rPr>
        <w:t>学校有学年大课间实施</w:t>
      </w:r>
      <w:r>
        <w:rPr>
          <w:rFonts w:hint="eastAsia" w:ascii="仿宋_GB2312" w:hAnsi="仿宋_GB2312" w:eastAsia="仿宋_GB2312" w:cs="仿宋_GB2312"/>
          <w:kern w:val="0"/>
          <w:sz w:val="32"/>
          <w:szCs w:val="32"/>
          <w:lang w:eastAsia="zh-CN"/>
        </w:rPr>
        <w:t>方案</w:t>
      </w:r>
      <w:r>
        <w:rPr>
          <w:rFonts w:hint="eastAsia" w:ascii="仿宋_GB2312" w:hAnsi="仿宋_GB2312" w:eastAsia="仿宋_GB2312" w:cs="仿宋_GB2312"/>
          <w:kern w:val="0"/>
          <w:sz w:val="32"/>
          <w:szCs w:val="32"/>
        </w:rPr>
        <w:t>和行事历，并列入学校整体工作计划；制定必要的大课间活动安全措施和应急预案，在活动中加强安全教育和管理 。</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3.条件保障（15分）:</w:t>
      </w:r>
      <w:r>
        <w:rPr>
          <w:rFonts w:hint="eastAsia" w:ascii="仿宋_GB2312" w:hAnsi="仿宋_GB2312" w:eastAsia="仿宋_GB2312" w:cs="仿宋_GB2312"/>
          <w:kern w:val="0"/>
          <w:sz w:val="32"/>
          <w:szCs w:val="32"/>
        </w:rPr>
        <w:t>充分利用学校空间，合理布局大课间活动场地；大课间</w:t>
      </w:r>
      <w:r>
        <w:rPr>
          <w:rFonts w:hint="eastAsia" w:ascii="仿宋_GB2312" w:hAnsi="仿宋_GB2312" w:eastAsia="仿宋_GB2312" w:cs="仿宋_GB2312"/>
          <w:kern w:val="0"/>
          <w:sz w:val="32"/>
          <w:szCs w:val="32"/>
          <w:lang w:val="en-US" w:eastAsia="zh-CN"/>
        </w:rPr>
        <w:t>有效</w:t>
      </w:r>
      <w:r>
        <w:rPr>
          <w:rFonts w:hint="eastAsia" w:ascii="仿宋_GB2312" w:hAnsi="仿宋_GB2312" w:eastAsia="仿宋_GB2312" w:cs="仿宋_GB2312"/>
          <w:kern w:val="0"/>
          <w:sz w:val="32"/>
          <w:szCs w:val="32"/>
        </w:rPr>
        <w:t>活动不少于20分钟。</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4.面向人人（10分）:</w:t>
      </w:r>
      <w:r>
        <w:rPr>
          <w:rFonts w:hint="eastAsia" w:ascii="仿宋_GB2312" w:hAnsi="仿宋_GB2312" w:eastAsia="仿宋_GB2312" w:cs="仿宋_GB2312"/>
          <w:kern w:val="0"/>
          <w:sz w:val="32"/>
          <w:szCs w:val="32"/>
        </w:rPr>
        <w:t>大课间活动的开展要面向全体学生，人人参与。</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5.内容科学（15分）:</w:t>
      </w:r>
      <w:r>
        <w:rPr>
          <w:rFonts w:hint="eastAsia" w:ascii="仿宋_GB2312" w:hAnsi="仿宋_GB2312" w:eastAsia="仿宋_GB2312" w:cs="仿宋_GB2312"/>
          <w:kern w:val="0"/>
          <w:sz w:val="32"/>
          <w:szCs w:val="32"/>
        </w:rPr>
        <w:t xml:space="preserve">遵循学生身心发展规律，从实际出发，合理安排大课间的内容，运动负荷符合各年段学生身心特点。 </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6.实施科学（15分）:</w:t>
      </w:r>
      <w:r>
        <w:rPr>
          <w:rFonts w:hint="eastAsia" w:ascii="仿宋_GB2312" w:hAnsi="仿宋_GB2312" w:eastAsia="仿宋_GB2312" w:cs="仿宋_GB2312"/>
          <w:kern w:val="0"/>
          <w:sz w:val="32"/>
          <w:szCs w:val="32"/>
        </w:rPr>
        <w:t>大课间进退场，活动过程安全、快捷，大课间活动形式合理、多样，学生参与踊跃。</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7.评价科学（10分）</w:t>
      </w:r>
      <w:r>
        <w:rPr>
          <w:rFonts w:hint="eastAsia" w:ascii="仿宋_GB2312" w:hAnsi="仿宋_GB2312" w:eastAsia="仿宋_GB2312" w:cs="仿宋_GB2312"/>
          <w:kern w:val="0"/>
          <w:sz w:val="32"/>
          <w:szCs w:val="32"/>
        </w:rPr>
        <w:t>：大课间活动，纳入学校课程，列入课表，学校定期开展大课间活动评比。</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0"/>
          <w:sz w:val="32"/>
          <w:szCs w:val="32"/>
        </w:rPr>
        <w:t>8.成效体现（15分）：</w:t>
      </w:r>
      <w:r>
        <w:rPr>
          <w:rFonts w:hint="eastAsia" w:ascii="仿宋_GB2312" w:hAnsi="仿宋_GB2312" w:eastAsia="仿宋_GB2312" w:cs="仿宋_GB2312"/>
          <w:kern w:val="0"/>
          <w:sz w:val="32"/>
          <w:szCs w:val="32"/>
        </w:rPr>
        <w:t>大课间活动有体系，有实施途径，有既定目标；学生精神面貌积极向上、群体形象健康，体质健康和近视综合防控取得成效。</w:t>
      </w:r>
    </w:p>
    <w:p>
      <w:pPr>
        <w:keepNext w:val="0"/>
        <w:keepLines w:val="0"/>
        <w:pageBreakBefore w:val="0"/>
        <w:widowControl w:val="0"/>
        <w:kinsoku/>
        <w:wordWrap/>
        <w:overflowPunct/>
        <w:topLinePunct w:val="0"/>
        <w:autoSpaceDE/>
        <w:autoSpaceDN/>
        <w:bidi w:val="0"/>
        <w:adjustRightInd/>
        <w:snapToGrid/>
        <w:spacing w:line="240" w:lineRule="auto"/>
        <w:ind w:right="359" w:rightChars="171"/>
        <w:textAlignment w:val="auto"/>
        <w:rPr>
          <w:rFonts w:hint="eastAsia" w:ascii="方正小标宋简体" w:eastAsia="方正小标宋简体" w:cs="仿宋_GB2312"/>
          <w:color w:val="000000"/>
          <w:kern w:val="0"/>
          <w:sz w:val="36"/>
          <w:szCs w:val="36"/>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cs="仿宋_GB2312"/>
          <w:color w:val="000000"/>
          <w:kern w:val="0"/>
          <w:sz w:val="28"/>
          <w:szCs w:val="28"/>
          <w:lang w:eastAsia="zh-CN"/>
        </w:rPr>
      </w:pPr>
      <w:r>
        <w:rPr>
          <w:rFonts w:hint="eastAsia" w:ascii="方正小标宋简体" w:eastAsia="方正小标宋简体" w:cs="仿宋_GB2312"/>
          <w:color w:val="000000"/>
          <w:kern w:val="0"/>
          <w:sz w:val="36"/>
          <w:szCs w:val="36"/>
          <w:lang w:eastAsia="zh-CN"/>
        </w:rPr>
        <w:t>乐清</w:t>
      </w:r>
      <w:r>
        <w:rPr>
          <w:rFonts w:hint="eastAsia" w:ascii="方正小标宋简体" w:eastAsia="方正小标宋简体" w:cs="仿宋_GB2312"/>
          <w:color w:val="000000"/>
          <w:kern w:val="0"/>
          <w:sz w:val="36"/>
          <w:szCs w:val="36"/>
        </w:rPr>
        <w:t>市中小学体育大课间特色学校评分细则</w:t>
      </w:r>
    </w:p>
    <w:tbl>
      <w:tblPr>
        <w:tblStyle w:val="2"/>
        <w:tblW w:w="10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275"/>
        <w:gridCol w:w="1134"/>
        <w:gridCol w:w="6345"/>
        <w:gridCol w:w="705"/>
        <w:gridCol w:w="6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5" w:hRule="atLeast"/>
          <w:jc w:val="center"/>
        </w:trPr>
        <w:tc>
          <w:tcPr>
            <w:tcW w:w="1275" w:type="dxa"/>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黑体" w:hAnsi="Arial" w:eastAsia="黑体"/>
                <w:kern w:val="0"/>
                <w:sz w:val="24"/>
              </w:rPr>
            </w:pPr>
            <w:r>
              <w:rPr>
                <w:rFonts w:hint="eastAsia" w:ascii="黑体" w:hAnsi="Arial" w:eastAsia="黑体"/>
                <w:kern w:val="0"/>
                <w:sz w:val="24"/>
              </w:rPr>
              <w:t>一级指标及分值</w:t>
            </w:r>
          </w:p>
        </w:tc>
        <w:tc>
          <w:tcPr>
            <w:tcW w:w="7479" w:type="dxa"/>
            <w:gridSpan w:val="2"/>
            <w:vMerge w:val="restart"/>
            <w:tcBorders>
              <w:top w:val="single" w:color="auto" w:sz="8" w:space="0"/>
              <w:left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黑体" w:hAnsi="Arial" w:eastAsia="黑体"/>
                <w:kern w:val="0"/>
                <w:sz w:val="24"/>
              </w:rPr>
            </w:pPr>
            <w:r>
              <w:rPr>
                <w:rFonts w:hint="eastAsia" w:ascii="黑体" w:hAnsi="Arial" w:eastAsia="黑体"/>
                <w:kern w:val="0"/>
                <w:sz w:val="24"/>
              </w:rPr>
              <w:t>二级指标内容及分值</w:t>
            </w:r>
          </w:p>
        </w:tc>
        <w:tc>
          <w:tcPr>
            <w:tcW w:w="1324" w:type="dxa"/>
            <w:gridSpan w:val="2"/>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400" w:lineRule="exact"/>
              <w:jc w:val="center"/>
              <w:rPr>
                <w:rFonts w:ascii="黑体" w:hAnsi="Arial" w:eastAsia="黑体"/>
                <w:kern w:val="0"/>
                <w:sz w:val="24"/>
              </w:rPr>
            </w:pPr>
            <w:r>
              <w:rPr>
                <w:rFonts w:hint="eastAsia" w:ascii="黑体" w:hAnsi="Arial" w:eastAsia="黑体"/>
                <w:kern w:val="0"/>
                <w:sz w:val="24"/>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0" w:hRule="atLeast"/>
          <w:jc w:val="center"/>
        </w:trPr>
        <w:tc>
          <w:tcPr>
            <w:tcW w:w="1275"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exact"/>
              <w:jc w:val="center"/>
              <w:rPr>
                <w:rFonts w:ascii="黑体" w:hAnsi="Arial" w:eastAsia="黑体"/>
                <w:kern w:val="0"/>
                <w:sz w:val="24"/>
              </w:rPr>
            </w:pPr>
          </w:p>
        </w:tc>
        <w:tc>
          <w:tcPr>
            <w:tcW w:w="7479" w:type="dxa"/>
            <w:gridSpan w:val="2"/>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400" w:lineRule="exact"/>
              <w:jc w:val="center"/>
              <w:rPr>
                <w:rFonts w:ascii="黑体" w:hAnsi="Arial" w:eastAsia="黑体"/>
                <w:kern w:val="0"/>
                <w:sz w:val="24"/>
              </w:rPr>
            </w:pPr>
          </w:p>
        </w:tc>
        <w:tc>
          <w:tcPr>
            <w:tcW w:w="705" w:type="dxa"/>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400" w:lineRule="exact"/>
              <w:jc w:val="center"/>
              <w:rPr>
                <w:rFonts w:ascii="黑体" w:hAnsi="Arial" w:eastAsia="黑体"/>
                <w:kern w:val="0"/>
                <w:sz w:val="24"/>
              </w:rPr>
            </w:pPr>
            <w:r>
              <w:rPr>
                <w:rFonts w:hint="eastAsia" w:ascii="黑体" w:hAnsi="Arial" w:eastAsia="黑体"/>
                <w:kern w:val="0"/>
                <w:sz w:val="24"/>
              </w:rPr>
              <w:t>自评</w:t>
            </w:r>
          </w:p>
        </w:tc>
        <w:tc>
          <w:tcPr>
            <w:tcW w:w="619" w:type="dxa"/>
            <w:tcBorders>
              <w:top w:val="single" w:color="auto" w:sz="4" w:space="0"/>
              <w:left w:val="single" w:color="auto" w:sz="4" w:space="0"/>
              <w:bottom w:val="single" w:color="auto" w:sz="8" w:space="0"/>
              <w:right w:val="single" w:color="auto" w:sz="8" w:space="0"/>
            </w:tcBorders>
            <w:vAlign w:val="center"/>
          </w:tcPr>
          <w:p>
            <w:pPr>
              <w:spacing w:line="400" w:lineRule="exact"/>
              <w:jc w:val="center"/>
              <w:rPr>
                <w:rFonts w:ascii="黑体" w:hAnsi="Arial" w:eastAsia="黑体"/>
                <w:kern w:val="0"/>
                <w:sz w:val="24"/>
              </w:rPr>
            </w:pPr>
            <w:r>
              <w:rPr>
                <w:rFonts w:hint="eastAsia" w:ascii="黑体" w:hAnsi="Arial" w:eastAsia="黑体"/>
                <w:kern w:val="0"/>
                <w:sz w:val="24"/>
              </w:rPr>
              <w:t>终评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2" w:hRule="atLeast"/>
          <w:jc w:val="center"/>
        </w:trPr>
        <w:tc>
          <w:tcPr>
            <w:tcW w:w="127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宋体" w:eastAsia="Arial"/>
                <w:kern w:val="0"/>
              </w:rPr>
            </w:pPr>
            <w:r>
              <w:rPr>
                <w:rFonts w:hint="eastAsia" w:ascii="宋体" w:hAnsi="宋体"/>
                <w:kern w:val="0"/>
              </w:rPr>
              <w:t>A1组织</w:t>
            </w:r>
          </w:p>
          <w:p>
            <w:pPr>
              <w:widowControl/>
              <w:spacing w:line="300" w:lineRule="exact"/>
              <w:jc w:val="center"/>
              <w:rPr>
                <w:rFonts w:ascii="宋体" w:eastAsia="Arial"/>
                <w:kern w:val="0"/>
              </w:rPr>
            </w:pPr>
            <w:r>
              <w:rPr>
                <w:rFonts w:hint="eastAsia" w:ascii="宋体" w:hAnsi="宋体"/>
                <w:kern w:val="0"/>
              </w:rPr>
              <w:t>和保障</w:t>
            </w:r>
          </w:p>
          <w:p>
            <w:pPr>
              <w:widowControl/>
              <w:spacing w:line="300" w:lineRule="exact"/>
              <w:jc w:val="center"/>
              <w:rPr>
                <w:rFonts w:ascii="宋体" w:hAnsi="宋体"/>
                <w:kern w:val="0"/>
              </w:rPr>
            </w:pPr>
            <w:r>
              <w:rPr>
                <w:rFonts w:hint="eastAsia" w:ascii="宋体" w:hAnsi="宋体"/>
                <w:kern w:val="0"/>
              </w:rPr>
              <w:t>(30分)</w:t>
            </w:r>
          </w:p>
        </w:tc>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rPr>
            </w:pPr>
            <w:r>
              <w:rPr>
                <w:rFonts w:hint="eastAsia" w:ascii="宋体" w:hAnsi="宋体"/>
                <w:kern w:val="0"/>
              </w:rPr>
              <w:t>B1</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rPr>
            </w:pPr>
            <w:r>
              <w:rPr>
                <w:rFonts w:hint="eastAsia" w:ascii="宋体" w:hAnsi="宋体"/>
                <w:kern w:val="0"/>
              </w:rPr>
              <w:t>组织机构</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kern w:val="0"/>
              </w:rPr>
            </w:pPr>
            <w:r>
              <w:rPr>
                <w:rFonts w:hint="eastAsia" w:ascii="宋体" w:hAnsi="宋体"/>
                <w:kern w:val="0"/>
              </w:rPr>
              <w:t>（5分）</w:t>
            </w:r>
          </w:p>
        </w:tc>
        <w:tc>
          <w:tcPr>
            <w:tcW w:w="63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rPr>
                <w:rFonts w:ascii="宋体"/>
                <w:kern w:val="0"/>
              </w:rPr>
            </w:pPr>
            <w:r>
              <w:rPr>
                <w:rFonts w:hint="eastAsia" w:ascii="宋体" w:hAnsi="宋体"/>
              </w:rPr>
              <w:t>成立由校领导任组长，相关人员组成的大课间工作领导小组，领导小组分工</w:t>
            </w:r>
            <w:r>
              <w:rPr>
                <w:rFonts w:hint="eastAsia" w:ascii="宋体" w:hAnsi="宋体"/>
                <w:color w:val="000000"/>
              </w:rPr>
              <w:t>明确，定期召开专题工作会议，并有会议纪要（3分）；学校体育大课间</w:t>
            </w:r>
            <w:r>
              <w:rPr>
                <w:rFonts w:hint="eastAsia" w:ascii="宋体" w:hAnsi="宋体"/>
              </w:rPr>
              <w:t>形</w:t>
            </w:r>
            <w:r>
              <w:rPr>
                <w:rFonts w:hint="eastAsia" w:ascii="宋体" w:hAnsi="宋体"/>
                <w:color w:val="000000"/>
              </w:rPr>
              <w:t>成班主任、任课老师共同</w:t>
            </w:r>
            <w:r>
              <w:rPr>
                <w:rFonts w:hint="eastAsia" w:ascii="宋体" w:hAnsi="宋体"/>
              </w:rPr>
              <w:t>参与的良好氛围（2分）。</w:t>
            </w:r>
          </w:p>
        </w:tc>
        <w:tc>
          <w:tcPr>
            <w:tcW w:w="705"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300" w:lineRule="exact"/>
              <w:jc w:val="center"/>
              <w:rPr>
                <w:rFonts w:ascii="宋体"/>
                <w:kern w:val="0"/>
              </w:rPr>
            </w:pPr>
            <w:r>
              <w:rPr>
                <w:rFonts w:hint="eastAsia" w:ascii="宋体"/>
                <w:kern w:val="0"/>
              </w:rPr>
              <w:t>台账</w:t>
            </w:r>
          </w:p>
        </w:tc>
        <w:tc>
          <w:tcPr>
            <w:tcW w:w="619" w:type="dxa"/>
            <w:tcBorders>
              <w:top w:val="single" w:color="auto" w:sz="8" w:space="0"/>
              <w:left w:val="single" w:color="auto" w:sz="4" w:space="0"/>
              <w:bottom w:val="single" w:color="auto" w:sz="8" w:space="0"/>
              <w:right w:val="single" w:color="auto" w:sz="8" w:space="0"/>
            </w:tcBorders>
            <w:vAlign w:val="center"/>
          </w:tcPr>
          <w:p>
            <w:pPr>
              <w:widowControl/>
              <w:spacing w:line="300" w:lineRule="exact"/>
              <w:jc w:val="center"/>
              <w:rPr>
                <w:rFonts w:asci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69" w:hRule="atLeast"/>
          <w:jc w:val="center"/>
        </w:trPr>
        <w:tc>
          <w:tcPr>
            <w:tcW w:w="127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宋体" w:eastAsia="Arial"/>
                <w:kern w:val="0"/>
              </w:rPr>
            </w:pPr>
          </w:p>
        </w:tc>
        <w:tc>
          <w:tcPr>
            <w:tcW w:w="113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B2</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顶层设计</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（10分）</w:t>
            </w:r>
          </w:p>
        </w:tc>
        <w:tc>
          <w:tcPr>
            <w:tcW w:w="63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rPr>
                <w:rFonts w:ascii="宋体"/>
                <w:kern w:val="0"/>
              </w:rPr>
            </w:pPr>
            <w:r>
              <w:rPr>
                <w:rFonts w:hint="eastAsia" w:ascii="宋体" w:hAnsi="宋体"/>
                <w:color w:val="000000"/>
              </w:rPr>
              <w:t>学校有学年大课间实施</w:t>
            </w:r>
            <w:r>
              <w:rPr>
                <w:rFonts w:hint="eastAsia" w:ascii="宋体" w:hAnsi="宋体"/>
                <w:color w:val="000000"/>
                <w:lang w:eastAsia="zh-CN"/>
              </w:rPr>
              <w:t>方案</w:t>
            </w:r>
            <w:r>
              <w:rPr>
                <w:rFonts w:hint="eastAsia" w:ascii="宋体" w:hAnsi="宋体"/>
                <w:color w:val="000000"/>
              </w:rPr>
              <w:t>和行事历，并列入学校整体工作计划（5分）；体育大课间活动与学生评价、班级评优、班主任考核相挂钩（3分）；制定必要的大课间活动安全措施、应急预案和特殊天气下的应对预案，在活动中加强安全教育和管理 (2分)。</w:t>
            </w:r>
          </w:p>
        </w:tc>
        <w:tc>
          <w:tcPr>
            <w:tcW w:w="705"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300" w:lineRule="exact"/>
              <w:jc w:val="center"/>
              <w:rPr>
                <w:rFonts w:ascii="宋体" w:hAnsi="宋体"/>
                <w:kern w:val="0"/>
              </w:rPr>
            </w:pPr>
            <w:r>
              <w:rPr>
                <w:rFonts w:hint="eastAsia" w:ascii="宋体"/>
                <w:kern w:val="0"/>
              </w:rPr>
              <w:t>台账</w:t>
            </w:r>
          </w:p>
        </w:tc>
        <w:tc>
          <w:tcPr>
            <w:tcW w:w="619" w:type="dxa"/>
            <w:tcBorders>
              <w:top w:val="single" w:color="auto" w:sz="8" w:space="0"/>
              <w:left w:val="single" w:color="auto" w:sz="4" w:space="0"/>
              <w:bottom w:val="single" w:color="auto" w:sz="8" w:space="0"/>
              <w:right w:val="single" w:color="auto" w:sz="8" w:space="0"/>
            </w:tcBorders>
            <w:vAlign w:val="center"/>
          </w:tcPr>
          <w:p>
            <w:pPr>
              <w:widowControl/>
              <w:spacing w:line="300" w:lineRule="exact"/>
              <w:jc w:val="center"/>
              <w:rPr>
                <w:rFonts w:ascii="宋体" w:hAns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30" w:hRule="atLeast"/>
          <w:jc w:val="center"/>
        </w:trPr>
        <w:tc>
          <w:tcPr>
            <w:tcW w:w="127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宋体" w:eastAsia="Arial"/>
                <w:kern w:val="0"/>
              </w:rPr>
            </w:pPr>
          </w:p>
        </w:tc>
        <w:tc>
          <w:tcPr>
            <w:tcW w:w="1134" w:type="dxa"/>
            <w:tcBorders>
              <w:top w:val="single" w:color="auto" w:sz="8" w:space="0"/>
              <w:left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B3</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条件保障</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（15分）</w:t>
            </w:r>
          </w:p>
        </w:tc>
        <w:tc>
          <w:tcPr>
            <w:tcW w:w="6345" w:type="dxa"/>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300" w:lineRule="exact"/>
              <w:rPr>
                <w:rFonts w:ascii="宋体"/>
                <w:kern w:val="0"/>
              </w:rPr>
            </w:pPr>
            <w:r>
              <w:rPr>
                <w:rFonts w:hint="eastAsia" w:ascii="宋体"/>
                <w:kern w:val="0"/>
              </w:rPr>
              <w:t>充分利用学校空间，合理布局大课间活动活动场地（3分）。</w:t>
            </w:r>
            <w:r>
              <w:rPr>
                <w:rFonts w:ascii="宋体"/>
                <w:kern w:val="0"/>
              </w:rPr>
              <w:t xml:space="preserve"> </w:t>
            </w:r>
            <w:r>
              <w:rPr>
                <w:rFonts w:hint="eastAsia" w:ascii="宋体"/>
                <w:kern w:val="0"/>
              </w:rPr>
              <w:t>积极创设健康、阳光的校园文化、楼宇文化和场馆文化（2分）。大课间活动不少于30分钟，有效时间不少于20分钟（8分）；无出现随意占用体育课间活动时间（2分）。</w:t>
            </w:r>
          </w:p>
        </w:tc>
        <w:tc>
          <w:tcPr>
            <w:tcW w:w="705"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spacing w:line="300" w:lineRule="exact"/>
              <w:jc w:val="center"/>
              <w:rPr>
                <w:rFonts w:ascii="宋体" w:eastAsia="Arial"/>
                <w:kern w:val="0"/>
              </w:rPr>
            </w:pPr>
          </w:p>
        </w:tc>
        <w:tc>
          <w:tcPr>
            <w:tcW w:w="619" w:type="dxa"/>
            <w:tcBorders>
              <w:top w:val="single" w:color="auto" w:sz="8" w:space="0"/>
              <w:left w:val="single" w:color="auto" w:sz="4" w:space="0"/>
              <w:right w:val="single" w:color="auto" w:sz="8" w:space="0"/>
            </w:tcBorders>
            <w:vAlign w:val="center"/>
          </w:tcPr>
          <w:p>
            <w:pPr>
              <w:widowControl/>
              <w:spacing w:line="300" w:lineRule="exact"/>
              <w:jc w:val="center"/>
              <w:rPr>
                <w:rFonts w:asci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40" w:hRule="atLeast"/>
          <w:jc w:val="center"/>
        </w:trPr>
        <w:tc>
          <w:tcPr>
            <w:tcW w:w="1275" w:type="dxa"/>
            <w:vMerge w:val="restart"/>
            <w:tcBorders>
              <w:top w:val="single" w:color="auto" w:sz="4" w:space="0"/>
              <w:left w:val="single" w:color="auto" w:sz="8" w:space="0"/>
              <w:bottom w:val="single" w:color="auto" w:sz="8" w:space="0"/>
              <w:right w:val="single" w:color="auto" w:sz="8" w:space="0"/>
            </w:tcBorders>
            <w:vAlign w:val="center"/>
          </w:tcPr>
          <w:p>
            <w:pPr>
              <w:widowControl/>
              <w:spacing w:line="300" w:lineRule="exact"/>
              <w:jc w:val="center"/>
              <w:rPr>
                <w:rFonts w:ascii="宋体" w:hAnsi="宋体"/>
                <w:kern w:val="0"/>
              </w:rPr>
            </w:pPr>
            <w:r>
              <w:rPr>
                <w:rFonts w:hint="eastAsia" w:ascii="宋体" w:hAnsi="宋体"/>
                <w:kern w:val="0"/>
              </w:rPr>
              <w:t>A2内容</w:t>
            </w:r>
          </w:p>
          <w:p>
            <w:pPr>
              <w:widowControl/>
              <w:spacing w:line="300" w:lineRule="exact"/>
              <w:jc w:val="center"/>
              <w:rPr>
                <w:rFonts w:ascii="宋体" w:hAnsi="宋体"/>
                <w:kern w:val="0"/>
              </w:rPr>
            </w:pPr>
            <w:r>
              <w:rPr>
                <w:rFonts w:hint="eastAsia" w:ascii="宋体" w:hAnsi="宋体"/>
                <w:kern w:val="0"/>
              </w:rPr>
              <w:t>和实施</w:t>
            </w:r>
          </w:p>
          <w:p>
            <w:pPr>
              <w:widowControl/>
              <w:spacing w:line="300" w:lineRule="exact"/>
              <w:jc w:val="center"/>
              <w:rPr>
                <w:rFonts w:ascii="宋体" w:eastAsia="Arial"/>
                <w:kern w:val="0"/>
              </w:rPr>
            </w:pPr>
            <w:r>
              <w:rPr>
                <w:rFonts w:hint="eastAsia" w:ascii="宋体" w:hAnsi="宋体"/>
                <w:kern w:val="0"/>
              </w:rPr>
              <w:t>(45分)</w:t>
            </w:r>
          </w:p>
        </w:tc>
        <w:tc>
          <w:tcPr>
            <w:tcW w:w="1134"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B4</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面向人人</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（5分）</w:t>
            </w:r>
          </w:p>
        </w:tc>
        <w:tc>
          <w:tcPr>
            <w:tcW w:w="63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rPr>
                <w:rFonts w:ascii="宋体" w:hAnsi="宋体"/>
                <w:kern w:val="0"/>
              </w:rPr>
            </w:pPr>
            <w:r>
              <w:rPr>
                <w:rFonts w:hint="eastAsia" w:ascii="宋体" w:hAnsi="宋体"/>
                <w:kern w:val="0"/>
              </w:rPr>
              <w:t>大课间活动的开展面向全体学生，人人参与（3分）；以音乐为背景串联活动全过程，蕴含校园文化教育因素（2分）。</w:t>
            </w:r>
          </w:p>
        </w:tc>
        <w:tc>
          <w:tcPr>
            <w:tcW w:w="705"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300" w:lineRule="exact"/>
              <w:jc w:val="center"/>
              <w:rPr>
                <w:rFonts w:ascii="宋体" w:eastAsia="Arial"/>
                <w:kern w:val="0"/>
              </w:rPr>
            </w:pPr>
          </w:p>
        </w:tc>
        <w:tc>
          <w:tcPr>
            <w:tcW w:w="619" w:type="dxa"/>
            <w:tcBorders>
              <w:top w:val="single" w:color="auto" w:sz="8" w:space="0"/>
              <w:left w:val="single" w:color="auto" w:sz="4" w:space="0"/>
              <w:bottom w:val="single" w:color="auto" w:sz="8" w:space="0"/>
              <w:right w:val="single" w:color="auto" w:sz="8" w:space="0"/>
            </w:tcBorders>
            <w:vAlign w:val="center"/>
          </w:tcPr>
          <w:p>
            <w:pPr>
              <w:widowControl/>
              <w:spacing w:line="300" w:lineRule="exact"/>
              <w:jc w:val="center"/>
              <w:rPr>
                <w:rFonts w:asci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46" w:hRule="atLeast"/>
          <w:jc w:val="center"/>
        </w:trPr>
        <w:tc>
          <w:tcPr>
            <w:tcW w:w="1275" w:type="dxa"/>
            <w:vMerge w:val="continue"/>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jc w:val="center"/>
              <w:rPr>
                <w:rFonts w:ascii="宋体" w:eastAsia="Arial"/>
                <w:kern w:val="0"/>
              </w:rPr>
            </w:pPr>
          </w:p>
        </w:tc>
        <w:tc>
          <w:tcPr>
            <w:tcW w:w="1134" w:type="dxa"/>
            <w:tcBorders>
              <w:top w:val="single" w:color="auto" w:sz="6"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B5</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内容科学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（15分）</w:t>
            </w:r>
          </w:p>
        </w:tc>
        <w:tc>
          <w:tcPr>
            <w:tcW w:w="6345" w:type="dxa"/>
            <w:tcBorders>
              <w:top w:val="single" w:color="auto" w:sz="6"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tabs>
                <w:tab w:val="left" w:pos="780"/>
              </w:tabs>
              <w:spacing w:line="300" w:lineRule="exact"/>
              <w:rPr>
                <w:rFonts w:ascii="宋体" w:eastAsia="Arial"/>
                <w:kern w:val="0"/>
              </w:rPr>
            </w:pPr>
            <w:r>
              <w:rPr>
                <w:rFonts w:hint="eastAsia" w:ascii="宋体" w:hAnsi="宋体"/>
                <w:kern w:val="0"/>
              </w:rPr>
              <w:t>遵循学生身心发展规律，从实际出发，合力安排大课间的内容，运动负荷符合各年段学生身心特点（10分）；大课间内容安排中体现全校统一规定内容和学生年段特点内容相结合，</w:t>
            </w:r>
            <w:r>
              <w:rPr>
                <w:rFonts w:hint="eastAsia" w:ascii="宋体" w:hAnsi="宋体"/>
              </w:rPr>
              <w:t>操作性强</w:t>
            </w:r>
            <w:r>
              <w:rPr>
                <w:rFonts w:hint="eastAsia" w:ascii="宋体" w:hAnsi="宋体"/>
                <w:kern w:val="0"/>
              </w:rPr>
              <w:t>（5分）。</w:t>
            </w:r>
          </w:p>
        </w:tc>
        <w:tc>
          <w:tcPr>
            <w:tcW w:w="705" w:type="dxa"/>
            <w:tcBorders>
              <w:top w:val="single" w:color="auto" w:sz="6"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300" w:lineRule="exact"/>
              <w:rPr>
                <w:rFonts w:ascii="宋体" w:eastAsia="Arial"/>
                <w:kern w:val="0"/>
              </w:rPr>
            </w:pPr>
            <w:r>
              <w:rPr>
                <w:rFonts w:hint="eastAsia" w:ascii="宋体"/>
                <w:kern w:val="0"/>
              </w:rPr>
              <w:t>台账</w:t>
            </w:r>
          </w:p>
        </w:tc>
        <w:tc>
          <w:tcPr>
            <w:tcW w:w="619" w:type="dxa"/>
            <w:tcBorders>
              <w:top w:val="single" w:color="auto" w:sz="6" w:space="0"/>
              <w:left w:val="single" w:color="auto" w:sz="4" w:space="0"/>
              <w:bottom w:val="single" w:color="auto" w:sz="8" w:space="0"/>
              <w:right w:val="single" w:color="auto" w:sz="8" w:space="0"/>
            </w:tcBorders>
            <w:vAlign w:val="center"/>
          </w:tcPr>
          <w:p>
            <w:pPr>
              <w:widowControl/>
              <w:spacing w:line="300" w:lineRule="exact"/>
              <w:ind w:firstLine="210" w:firstLineChars="100"/>
              <w:rPr>
                <w:rFonts w:asci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52" w:hRule="atLeast"/>
          <w:jc w:val="center"/>
        </w:trPr>
        <w:tc>
          <w:tcPr>
            <w:tcW w:w="1275"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宋体" w:eastAsia="Arial"/>
                <w:kern w:val="0"/>
              </w:rPr>
            </w:pPr>
          </w:p>
        </w:tc>
        <w:tc>
          <w:tcPr>
            <w:tcW w:w="1134"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B6</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实施科学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（15分）</w:t>
            </w:r>
          </w:p>
        </w:tc>
        <w:tc>
          <w:tcPr>
            <w:tcW w:w="6345"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line="300" w:lineRule="exact"/>
              <w:rPr>
                <w:rFonts w:ascii="宋体" w:eastAsia="Arial"/>
                <w:kern w:val="0"/>
              </w:rPr>
            </w:pPr>
            <w:r>
              <w:rPr>
                <w:rFonts w:hint="eastAsia" w:ascii="宋体" w:hAnsi="宋体"/>
              </w:rPr>
              <w:t>大课间进退场</w:t>
            </w:r>
            <w:r>
              <w:rPr>
                <w:rFonts w:hint="eastAsia" w:ascii="宋体" w:hAnsi="宋体"/>
                <w:kern w:val="0"/>
              </w:rPr>
              <w:t>，活动过程安全、快捷（4分）；大课间活动形式合理、多样，学生参与踊跃，认可度高（10分）；特殊类型的学生有特定的活动内容和形式。（1分）</w:t>
            </w:r>
          </w:p>
        </w:tc>
        <w:tc>
          <w:tcPr>
            <w:tcW w:w="705" w:type="dxa"/>
            <w:tcBorders>
              <w:top w:val="single" w:color="auto" w:sz="8" w:space="0"/>
              <w:left w:val="single" w:color="auto" w:sz="8" w:space="0"/>
              <w:bottom w:val="single" w:color="auto" w:sz="4" w:space="0"/>
              <w:right w:val="single" w:color="auto" w:sz="4" w:space="0"/>
            </w:tcBorders>
            <w:tcMar>
              <w:top w:w="0" w:type="dxa"/>
              <w:left w:w="108" w:type="dxa"/>
              <w:bottom w:w="0" w:type="dxa"/>
              <w:right w:w="108" w:type="dxa"/>
            </w:tcMar>
            <w:vAlign w:val="center"/>
          </w:tcPr>
          <w:p>
            <w:pPr>
              <w:widowControl/>
              <w:spacing w:line="240" w:lineRule="exact"/>
              <w:jc w:val="center"/>
              <w:rPr>
                <w:rFonts w:ascii="宋体" w:eastAsia="Arial"/>
                <w:kern w:val="0"/>
              </w:rPr>
            </w:pPr>
          </w:p>
        </w:tc>
        <w:tc>
          <w:tcPr>
            <w:tcW w:w="619" w:type="dxa"/>
            <w:tcBorders>
              <w:top w:val="single" w:color="auto" w:sz="8" w:space="0"/>
              <w:left w:val="single" w:color="auto" w:sz="4" w:space="0"/>
              <w:bottom w:val="single" w:color="auto" w:sz="4" w:space="0"/>
              <w:right w:val="single" w:color="auto" w:sz="8" w:space="0"/>
            </w:tcBorders>
            <w:vAlign w:val="center"/>
          </w:tcPr>
          <w:p>
            <w:pPr>
              <w:widowControl/>
              <w:spacing w:line="240" w:lineRule="exact"/>
              <w:jc w:val="center"/>
              <w:rPr>
                <w:rFonts w:asci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84" w:hRule="atLeast"/>
          <w:jc w:val="center"/>
        </w:trPr>
        <w:tc>
          <w:tcPr>
            <w:tcW w:w="1275" w:type="dxa"/>
            <w:vMerge w:val="continue"/>
            <w:tcBorders>
              <w:top w:val="single" w:color="auto" w:sz="8" w:space="0"/>
              <w:left w:val="single" w:color="auto" w:sz="8" w:space="0"/>
              <w:bottom w:val="single" w:color="auto" w:sz="4" w:space="0"/>
              <w:right w:val="single" w:color="auto" w:sz="8" w:space="0"/>
            </w:tcBorders>
            <w:vAlign w:val="center"/>
          </w:tcPr>
          <w:p>
            <w:pPr>
              <w:widowControl/>
              <w:spacing w:line="300" w:lineRule="exact"/>
              <w:jc w:val="left"/>
              <w:rPr>
                <w:rFonts w:ascii="宋体" w:eastAsia="Arial"/>
                <w:kern w:val="0"/>
              </w:rPr>
            </w:pPr>
          </w:p>
        </w:tc>
        <w:tc>
          <w:tcPr>
            <w:tcW w:w="1134" w:type="dxa"/>
            <w:tcBorders>
              <w:top w:val="single" w:color="auto" w:sz="8"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B7</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评价科学</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（10分）</w:t>
            </w:r>
          </w:p>
        </w:tc>
        <w:tc>
          <w:tcPr>
            <w:tcW w:w="63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rPr>
                <w:rFonts w:ascii="宋体" w:eastAsia="Arial"/>
                <w:kern w:val="0"/>
              </w:rPr>
            </w:pPr>
            <w:r>
              <w:rPr>
                <w:rFonts w:hint="eastAsia" w:ascii="宋体"/>
                <w:kern w:val="0"/>
              </w:rPr>
              <w:t>大课间活动实行课程化管理，纳入学校课程，列入课表（2分）；与本校传统项目或体育特色活动相结合，体现“一校一品”特色（3分）；学校定期开展大课间活动评比，并展示效果（5分）。</w:t>
            </w:r>
          </w:p>
        </w:tc>
        <w:tc>
          <w:tcPr>
            <w:tcW w:w="705"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300" w:lineRule="exact"/>
              <w:jc w:val="center"/>
              <w:rPr>
                <w:rFonts w:ascii="宋体" w:eastAsia="Arial"/>
                <w:kern w:val="0"/>
              </w:rPr>
            </w:pPr>
            <w:r>
              <w:rPr>
                <w:rFonts w:hint="eastAsia" w:ascii="宋体"/>
                <w:kern w:val="0"/>
              </w:rPr>
              <w:t>台账</w:t>
            </w:r>
          </w:p>
        </w:tc>
        <w:tc>
          <w:tcPr>
            <w:tcW w:w="619" w:type="dxa"/>
            <w:tcBorders>
              <w:top w:val="single" w:color="auto" w:sz="8" w:space="0"/>
              <w:left w:val="single" w:color="auto" w:sz="4" w:space="0"/>
              <w:bottom w:val="single" w:color="auto" w:sz="8" w:space="0"/>
              <w:right w:val="single" w:color="auto" w:sz="8" w:space="0"/>
            </w:tcBorders>
            <w:vAlign w:val="center"/>
          </w:tcPr>
          <w:p>
            <w:pPr>
              <w:widowControl/>
              <w:spacing w:line="300" w:lineRule="exact"/>
              <w:jc w:val="center"/>
              <w:rPr>
                <w:rFonts w:ascii="宋体"/>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4" w:hRule="atLeast"/>
          <w:jc w:val="center"/>
        </w:trPr>
        <w:tc>
          <w:tcPr>
            <w:tcW w:w="1275" w:type="dxa"/>
            <w:tcBorders>
              <w:top w:val="single" w:color="auto" w:sz="4" w:space="0"/>
              <w:left w:val="single" w:color="auto" w:sz="8" w:space="0"/>
              <w:bottom w:val="single" w:color="auto" w:sz="4" w:space="0"/>
              <w:right w:val="single" w:color="auto" w:sz="8" w:space="0"/>
            </w:tcBorders>
            <w:vAlign w:val="center"/>
          </w:tcPr>
          <w:p>
            <w:pPr>
              <w:spacing w:line="300" w:lineRule="exact"/>
              <w:jc w:val="center"/>
              <w:rPr>
                <w:rFonts w:ascii="宋体"/>
                <w:kern w:val="0"/>
              </w:rPr>
            </w:pPr>
            <w:r>
              <w:rPr>
                <w:rFonts w:hint="eastAsia" w:ascii="宋体"/>
                <w:kern w:val="0"/>
              </w:rPr>
              <w:t>A3特色</w:t>
            </w:r>
          </w:p>
          <w:p>
            <w:pPr>
              <w:spacing w:line="300" w:lineRule="exact"/>
              <w:jc w:val="center"/>
              <w:rPr>
                <w:rFonts w:ascii="宋体"/>
                <w:kern w:val="0"/>
              </w:rPr>
            </w:pPr>
            <w:r>
              <w:rPr>
                <w:rFonts w:hint="eastAsia" w:ascii="宋体"/>
                <w:kern w:val="0"/>
              </w:rPr>
              <w:t>和成效</w:t>
            </w:r>
          </w:p>
          <w:p>
            <w:pPr>
              <w:spacing w:line="300" w:lineRule="exact"/>
              <w:jc w:val="center"/>
              <w:rPr>
                <w:rFonts w:ascii="宋体"/>
                <w:kern w:val="0"/>
              </w:rPr>
            </w:pPr>
            <w:r>
              <w:rPr>
                <w:rFonts w:hint="eastAsia" w:ascii="宋体"/>
                <w:kern w:val="0"/>
              </w:rPr>
              <w:t>(25分)</w:t>
            </w:r>
          </w:p>
        </w:tc>
        <w:tc>
          <w:tcPr>
            <w:tcW w:w="1134" w:type="dxa"/>
            <w:tcBorders>
              <w:top w:val="single" w:color="auto" w:sz="4" w:space="0"/>
              <w:left w:val="single" w:color="auto" w:sz="8" w:space="0"/>
              <w:bottom w:val="single" w:color="auto" w:sz="4"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B8</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特色凸显</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kern w:val="0"/>
              </w:rPr>
            </w:pPr>
            <w:r>
              <w:rPr>
                <w:rFonts w:hint="eastAsia" w:ascii="宋体" w:hAnsi="宋体"/>
                <w:kern w:val="0"/>
              </w:rPr>
              <w:t>(25分)</w:t>
            </w:r>
          </w:p>
        </w:tc>
        <w:tc>
          <w:tcPr>
            <w:tcW w:w="634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exact"/>
              <w:rPr>
                <w:rFonts w:ascii="宋体" w:eastAsia="Arial"/>
                <w:kern w:val="0"/>
              </w:rPr>
            </w:pPr>
            <w:r>
              <w:rPr>
                <w:rFonts w:hint="eastAsia" w:ascii="宋体" w:hAnsi="宋体"/>
                <w:kern w:val="0"/>
              </w:rPr>
              <w:t>总结出具有校本特色的大课间成功经验和做法，呈现出来的大课间体系科学、完整（含目标、实施途径、评价）（10分）；近三年内在教育行政部门（含教研、师训）组织的会议（活动）上做大课间工作交流、活动展示等（市级及以上5分/次，县级3分/次，学区集团校1分/次，最高5分）；在大课间相关的评比中获奖（市级二等奖以上为3分/篇，市级三等奖、县级二等奖为2分/篇，县级三等奖为1分/篇，最高3分）；学生精神面貌积极向上、群体形象健康，学生体质健康、近视防控工作达到省市文件规定目标。（7分）；</w:t>
            </w:r>
          </w:p>
        </w:tc>
        <w:tc>
          <w:tcPr>
            <w:tcW w:w="705"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spacing w:line="300" w:lineRule="exact"/>
              <w:jc w:val="center"/>
              <w:rPr>
                <w:rFonts w:ascii="宋体" w:eastAsia="Arial"/>
                <w:kern w:val="0"/>
              </w:rPr>
            </w:pPr>
            <w:r>
              <w:rPr>
                <w:rFonts w:hint="eastAsia" w:ascii="宋体"/>
                <w:kern w:val="0"/>
              </w:rPr>
              <w:t>台账</w:t>
            </w:r>
          </w:p>
        </w:tc>
        <w:tc>
          <w:tcPr>
            <w:tcW w:w="619" w:type="dxa"/>
            <w:tcBorders>
              <w:top w:val="single" w:color="auto" w:sz="8" w:space="0"/>
              <w:left w:val="single" w:color="auto" w:sz="4" w:space="0"/>
              <w:bottom w:val="single" w:color="auto" w:sz="8" w:space="0"/>
              <w:right w:val="single" w:color="auto" w:sz="8" w:space="0"/>
            </w:tcBorders>
            <w:vAlign w:val="center"/>
          </w:tcPr>
          <w:p>
            <w:pPr>
              <w:widowControl/>
              <w:spacing w:line="300" w:lineRule="exact"/>
              <w:jc w:val="center"/>
              <w:rPr>
                <w:rFonts w:ascii="宋体" w:eastAsia="Arial"/>
                <w:kern w:val="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2" w:hRule="atLeast"/>
          <w:jc w:val="center"/>
        </w:trPr>
        <w:tc>
          <w:tcPr>
            <w:tcW w:w="8754" w:type="dxa"/>
            <w:gridSpan w:val="3"/>
            <w:tcBorders>
              <w:top w:val="single" w:color="auto" w:sz="4" w:space="0"/>
              <w:left w:val="single" w:color="auto" w:sz="8" w:space="0"/>
              <w:bottom w:val="single" w:color="auto" w:sz="8" w:space="0"/>
              <w:right w:val="single" w:color="auto" w:sz="8" w:space="0"/>
            </w:tcBorders>
            <w:vAlign w:val="center"/>
          </w:tcPr>
          <w:p>
            <w:pPr>
              <w:widowControl/>
              <w:spacing w:line="300" w:lineRule="exact"/>
              <w:jc w:val="center"/>
              <w:rPr>
                <w:rFonts w:ascii="宋体" w:hAnsi="宋体"/>
                <w:kern w:val="0"/>
              </w:rPr>
            </w:pPr>
            <w:r>
              <w:rPr>
                <w:rFonts w:hint="eastAsia" w:ascii="宋体" w:hAnsi="宋体"/>
                <w:kern w:val="0"/>
              </w:rPr>
              <w:t>总分100分</w:t>
            </w:r>
          </w:p>
        </w:tc>
        <w:tc>
          <w:tcPr>
            <w:tcW w:w="705" w:type="dxa"/>
            <w:tcBorders>
              <w:top w:val="single" w:color="auto" w:sz="8" w:space="0"/>
              <w:left w:val="single" w:color="auto" w:sz="8" w:space="0"/>
              <w:right w:val="single" w:color="auto" w:sz="4" w:space="0"/>
            </w:tcBorders>
            <w:tcMar>
              <w:top w:w="0" w:type="dxa"/>
              <w:left w:w="108" w:type="dxa"/>
              <w:bottom w:w="0" w:type="dxa"/>
              <w:right w:w="108" w:type="dxa"/>
            </w:tcMar>
            <w:vAlign w:val="center"/>
          </w:tcPr>
          <w:p>
            <w:pPr>
              <w:widowControl/>
              <w:spacing w:line="300" w:lineRule="exact"/>
              <w:jc w:val="center"/>
              <w:rPr>
                <w:rFonts w:ascii="宋体" w:eastAsia="Arial"/>
                <w:kern w:val="0"/>
              </w:rPr>
            </w:pPr>
          </w:p>
        </w:tc>
        <w:tc>
          <w:tcPr>
            <w:tcW w:w="619" w:type="dxa"/>
            <w:tcBorders>
              <w:top w:val="single" w:color="auto" w:sz="8" w:space="0"/>
              <w:left w:val="single" w:color="auto" w:sz="4" w:space="0"/>
              <w:right w:val="single" w:color="auto" w:sz="8" w:space="0"/>
            </w:tcBorders>
            <w:vAlign w:val="center"/>
          </w:tcPr>
          <w:p>
            <w:pPr>
              <w:widowControl/>
              <w:spacing w:line="300" w:lineRule="exact"/>
              <w:jc w:val="center"/>
              <w:rPr>
                <w:rFonts w:ascii="宋体" w:eastAsia="Arial"/>
                <w:kern w:val="0"/>
              </w:rPr>
            </w:pPr>
          </w:p>
        </w:tc>
      </w:tr>
    </w:tbl>
    <w:p>
      <w:pPr>
        <w:rPr>
          <w:rFonts w:hint="eastAsia" w:ascii="宋体" w:hAnsi="宋体" w:eastAsia="宋体" w:cs="宋体"/>
          <w:b/>
          <w:bCs/>
          <w:i w:val="0"/>
          <w:iCs w:val="0"/>
          <w:color w:val="000000"/>
          <w:kern w:val="0"/>
          <w:sz w:val="24"/>
          <w:szCs w:val="24"/>
          <w:u w:val="none"/>
          <w:lang w:val="en-US" w:eastAsia="zh-CN" w:bidi="ar"/>
        </w:rPr>
      </w:pPr>
    </w:p>
    <w:p>
      <w:pPr>
        <w:rPr>
          <w:rFonts w:hint="eastAsia" w:ascii="宋体" w:hAnsi="宋体" w:eastAsia="宋体" w:cs="宋体"/>
          <w:b/>
          <w:bCs/>
          <w:i w:val="0"/>
          <w:iCs w:val="0"/>
          <w:color w:val="000000"/>
          <w:kern w:val="0"/>
          <w:sz w:val="24"/>
          <w:szCs w:val="24"/>
          <w:u w:val="none"/>
          <w:lang w:val="en-US" w:eastAsia="zh-CN" w:bidi="ar"/>
        </w:rPr>
      </w:pPr>
    </w:p>
    <w:p>
      <w:pPr>
        <w:rPr>
          <w:rFonts w:hint="eastAsia" w:ascii="宋体" w:hAnsi="宋体" w:eastAsia="宋体" w:cs="宋体"/>
          <w:b/>
          <w:bCs/>
          <w:i w:val="0"/>
          <w:iCs w:val="0"/>
          <w:color w:val="000000"/>
          <w:kern w:val="0"/>
          <w:sz w:val="24"/>
          <w:szCs w:val="24"/>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right="359" w:rightChars="171"/>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eastAsia="方正小标宋简体" w:cs="仿宋_GB2312"/>
          <w:color w:val="000000"/>
          <w:kern w:val="0"/>
          <w:sz w:val="36"/>
          <w:szCs w:val="36"/>
          <w:lang w:val="en-US" w:eastAsia="zh-CN"/>
        </w:rPr>
      </w:pPr>
      <w:r>
        <w:rPr>
          <w:rFonts w:hint="eastAsia" w:ascii="方正小标宋简体" w:eastAsia="方正小标宋简体" w:cs="仿宋_GB2312"/>
          <w:color w:val="000000"/>
          <w:kern w:val="0"/>
          <w:sz w:val="36"/>
          <w:szCs w:val="36"/>
          <w:lang w:val="en-US" w:eastAsia="zh-CN"/>
        </w:rPr>
        <w:t>乐清市中小学体育大课间评比汇总表</w:t>
      </w:r>
    </w:p>
    <w:tbl>
      <w:tblPr>
        <w:tblStyle w:val="3"/>
        <w:tblW w:w="8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2098"/>
        <w:gridCol w:w="2405"/>
        <w:gridCol w:w="1501"/>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13" w:type="dxa"/>
          </w:tcPr>
          <w:p>
            <w:pPr>
              <w:jc w:val="center"/>
              <w:rPr>
                <w:rFonts w:hint="eastAsia" w:ascii="楷体" w:hAnsi="楷体" w:eastAsia="楷体" w:cs="楷体"/>
                <w:b/>
                <w:bCs/>
                <w:i w:val="0"/>
                <w:iCs w:val="0"/>
                <w:color w:val="000000"/>
                <w:kern w:val="0"/>
                <w:sz w:val="24"/>
                <w:szCs w:val="24"/>
                <w:u w:val="none"/>
                <w:vertAlign w:val="baseline"/>
                <w:lang w:val="en-US" w:eastAsia="zh-CN" w:bidi="ar"/>
              </w:rPr>
            </w:pPr>
            <w:r>
              <w:rPr>
                <w:rFonts w:hint="eastAsia" w:ascii="楷体" w:hAnsi="楷体" w:eastAsia="楷体" w:cs="楷体"/>
                <w:b/>
                <w:bCs/>
                <w:i w:val="0"/>
                <w:iCs w:val="0"/>
                <w:color w:val="000000"/>
                <w:kern w:val="0"/>
                <w:sz w:val="24"/>
                <w:szCs w:val="24"/>
                <w:u w:val="none"/>
                <w:vertAlign w:val="baseline"/>
                <w:lang w:val="en-US" w:eastAsia="zh-CN" w:bidi="ar"/>
              </w:rPr>
              <w:t>序号</w:t>
            </w:r>
          </w:p>
        </w:tc>
        <w:tc>
          <w:tcPr>
            <w:tcW w:w="2098" w:type="dxa"/>
          </w:tcPr>
          <w:p>
            <w:pPr>
              <w:jc w:val="center"/>
              <w:rPr>
                <w:rFonts w:hint="eastAsia" w:ascii="楷体" w:hAnsi="楷体" w:eastAsia="楷体" w:cs="楷体"/>
                <w:b/>
                <w:bCs/>
                <w:i w:val="0"/>
                <w:iCs w:val="0"/>
                <w:color w:val="000000"/>
                <w:kern w:val="0"/>
                <w:sz w:val="28"/>
                <w:szCs w:val="28"/>
                <w:u w:val="none"/>
                <w:vertAlign w:val="baseline"/>
                <w:lang w:val="en-US" w:eastAsia="zh-CN" w:bidi="ar"/>
              </w:rPr>
            </w:pPr>
            <w:r>
              <w:rPr>
                <w:rFonts w:hint="eastAsia" w:ascii="楷体" w:hAnsi="楷体" w:eastAsia="楷体" w:cs="楷体"/>
                <w:b/>
                <w:bCs/>
                <w:i w:val="0"/>
                <w:iCs w:val="0"/>
                <w:color w:val="000000"/>
                <w:kern w:val="0"/>
                <w:sz w:val="28"/>
                <w:szCs w:val="28"/>
                <w:u w:val="none"/>
                <w:vertAlign w:val="baseline"/>
                <w:lang w:val="en-US" w:eastAsia="zh-CN" w:bidi="ar"/>
              </w:rPr>
              <w:t>学校全称</w:t>
            </w:r>
          </w:p>
        </w:tc>
        <w:tc>
          <w:tcPr>
            <w:tcW w:w="2405" w:type="dxa"/>
          </w:tcPr>
          <w:p>
            <w:pPr>
              <w:jc w:val="center"/>
              <w:rPr>
                <w:rFonts w:hint="eastAsia" w:ascii="楷体" w:hAnsi="楷体" w:eastAsia="楷体" w:cs="楷体"/>
                <w:b/>
                <w:bCs/>
                <w:i w:val="0"/>
                <w:iCs w:val="0"/>
                <w:color w:val="000000"/>
                <w:kern w:val="0"/>
                <w:sz w:val="28"/>
                <w:szCs w:val="28"/>
                <w:u w:val="none"/>
                <w:vertAlign w:val="baseline"/>
                <w:lang w:val="en-US" w:eastAsia="zh-CN" w:bidi="ar"/>
              </w:rPr>
            </w:pPr>
            <w:r>
              <w:rPr>
                <w:rFonts w:hint="eastAsia" w:ascii="楷体" w:hAnsi="楷体" w:eastAsia="楷体" w:cs="楷体"/>
                <w:b/>
                <w:bCs/>
                <w:i w:val="0"/>
                <w:iCs w:val="0"/>
                <w:color w:val="000000"/>
                <w:kern w:val="0"/>
                <w:sz w:val="28"/>
                <w:szCs w:val="28"/>
                <w:u w:val="none"/>
                <w:vertAlign w:val="baseline"/>
                <w:lang w:val="en-US" w:eastAsia="zh-CN" w:bidi="ar"/>
              </w:rPr>
              <w:t>大课间主要内容</w:t>
            </w:r>
          </w:p>
        </w:tc>
        <w:tc>
          <w:tcPr>
            <w:tcW w:w="1501" w:type="dxa"/>
          </w:tcPr>
          <w:p>
            <w:pPr>
              <w:jc w:val="center"/>
              <w:rPr>
                <w:rFonts w:hint="eastAsia" w:ascii="楷体" w:hAnsi="楷体" w:eastAsia="楷体" w:cs="楷体"/>
                <w:b/>
                <w:bCs/>
                <w:i w:val="0"/>
                <w:iCs w:val="0"/>
                <w:color w:val="000000"/>
                <w:kern w:val="0"/>
                <w:sz w:val="28"/>
                <w:szCs w:val="28"/>
                <w:u w:val="none"/>
                <w:vertAlign w:val="baseline"/>
                <w:lang w:val="en-US" w:eastAsia="zh-CN" w:bidi="ar"/>
              </w:rPr>
            </w:pPr>
            <w:r>
              <w:rPr>
                <w:rFonts w:hint="eastAsia" w:ascii="楷体" w:hAnsi="楷体" w:eastAsia="楷体" w:cs="楷体"/>
                <w:b/>
                <w:bCs/>
                <w:i w:val="0"/>
                <w:iCs w:val="0"/>
                <w:color w:val="000000"/>
                <w:kern w:val="0"/>
                <w:sz w:val="28"/>
                <w:szCs w:val="28"/>
                <w:u w:val="none"/>
                <w:vertAlign w:val="baseline"/>
                <w:lang w:val="en-US" w:eastAsia="zh-CN" w:bidi="ar"/>
              </w:rPr>
              <w:t>负责人</w:t>
            </w:r>
          </w:p>
        </w:tc>
        <w:tc>
          <w:tcPr>
            <w:tcW w:w="1979" w:type="dxa"/>
          </w:tcPr>
          <w:p>
            <w:pPr>
              <w:jc w:val="center"/>
              <w:rPr>
                <w:rFonts w:hint="eastAsia" w:ascii="楷体" w:hAnsi="楷体" w:eastAsia="楷体" w:cs="楷体"/>
                <w:b/>
                <w:bCs/>
                <w:i w:val="0"/>
                <w:iCs w:val="0"/>
                <w:color w:val="000000"/>
                <w:kern w:val="0"/>
                <w:sz w:val="28"/>
                <w:szCs w:val="28"/>
                <w:u w:val="none"/>
                <w:vertAlign w:val="baseline"/>
                <w:lang w:val="en-US" w:eastAsia="zh-CN" w:bidi="ar"/>
              </w:rPr>
            </w:pPr>
            <w:r>
              <w:rPr>
                <w:rFonts w:hint="eastAsia" w:ascii="楷体" w:hAnsi="楷体" w:eastAsia="楷体" w:cs="楷体"/>
                <w:b/>
                <w:bCs/>
                <w:i w:val="0"/>
                <w:iCs w:val="0"/>
                <w:color w:val="000000"/>
                <w:kern w:val="0"/>
                <w:sz w:val="28"/>
                <w:szCs w:val="28"/>
                <w:u w:val="none"/>
                <w:vertAlign w:val="baseline"/>
                <w:lang w:val="en-US" w:eastAsia="zh-CN"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13"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098"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405"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501"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979" w:type="dxa"/>
          </w:tcPr>
          <w:p>
            <w:pPr>
              <w:rPr>
                <w:rFonts w:hint="default" w:ascii="宋体" w:hAnsi="宋体" w:eastAsia="宋体" w:cs="宋体"/>
                <w:b/>
                <w:bCs/>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13"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098"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405"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501"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979" w:type="dxa"/>
          </w:tcPr>
          <w:p>
            <w:pPr>
              <w:rPr>
                <w:rFonts w:hint="default" w:ascii="宋体" w:hAnsi="宋体" w:eastAsia="宋体" w:cs="宋体"/>
                <w:b/>
                <w:bCs/>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13"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098"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405"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501"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979" w:type="dxa"/>
          </w:tcPr>
          <w:p>
            <w:pPr>
              <w:rPr>
                <w:rFonts w:hint="default" w:ascii="宋体" w:hAnsi="宋体" w:eastAsia="宋体" w:cs="宋体"/>
                <w:b/>
                <w:bCs/>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13"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098"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405"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501"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979" w:type="dxa"/>
          </w:tcPr>
          <w:p>
            <w:pPr>
              <w:rPr>
                <w:rFonts w:hint="default" w:ascii="宋体" w:hAnsi="宋体" w:eastAsia="宋体" w:cs="宋体"/>
                <w:b/>
                <w:bCs/>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13"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098"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405"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501"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979" w:type="dxa"/>
          </w:tcPr>
          <w:p>
            <w:pPr>
              <w:rPr>
                <w:rFonts w:hint="default" w:ascii="宋体" w:hAnsi="宋体" w:eastAsia="宋体" w:cs="宋体"/>
                <w:b/>
                <w:bCs/>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13"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098"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405"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501"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979" w:type="dxa"/>
          </w:tcPr>
          <w:p>
            <w:pPr>
              <w:rPr>
                <w:rFonts w:hint="default" w:ascii="宋体" w:hAnsi="宋体" w:eastAsia="宋体" w:cs="宋体"/>
                <w:b/>
                <w:bCs/>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13"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098"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405"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501"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979" w:type="dxa"/>
          </w:tcPr>
          <w:p>
            <w:pPr>
              <w:rPr>
                <w:rFonts w:hint="default" w:ascii="宋体" w:hAnsi="宋体" w:eastAsia="宋体" w:cs="宋体"/>
                <w:b/>
                <w:bCs/>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13"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098"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405"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501"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979" w:type="dxa"/>
          </w:tcPr>
          <w:p>
            <w:pPr>
              <w:rPr>
                <w:rFonts w:hint="default" w:ascii="宋体" w:hAnsi="宋体" w:eastAsia="宋体" w:cs="宋体"/>
                <w:b/>
                <w:bCs/>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13"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098"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405"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501"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979" w:type="dxa"/>
          </w:tcPr>
          <w:p>
            <w:pPr>
              <w:rPr>
                <w:rFonts w:hint="default" w:ascii="宋体" w:hAnsi="宋体" w:eastAsia="宋体" w:cs="宋体"/>
                <w:b/>
                <w:bCs/>
                <w:i w:val="0"/>
                <w:iCs w:val="0"/>
                <w:color w:val="00000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trPr>
        <w:tc>
          <w:tcPr>
            <w:tcW w:w="713"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098"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2405"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501" w:type="dxa"/>
          </w:tcPr>
          <w:p>
            <w:pPr>
              <w:rPr>
                <w:rFonts w:hint="default" w:ascii="宋体" w:hAnsi="宋体" w:eastAsia="宋体" w:cs="宋体"/>
                <w:b/>
                <w:bCs/>
                <w:i w:val="0"/>
                <w:iCs w:val="0"/>
                <w:color w:val="000000"/>
                <w:kern w:val="0"/>
                <w:sz w:val="21"/>
                <w:szCs w:val="21"/>
                <w:u w:val="none"/>
                <w:vertAlign w:val="baseline"/>
                <w:lang w:val="en-US" w:eastAsia="zh-CN" w:bidi="ar"/>
              </w:rPr>
            </w:pPr>
          </w:p>
        </w:tc>
        <w:tc>
          <w:tcPr>
            <w:tcW w:w="1979" w:type="dxa"/>
          </w:tcPr>
          <w:p>
            <w:pPr>
              <w:rPr>
                <w:rFonts w:hint="default" w:ascii="宋体" w:hAnsi="宋体" w:eastAsia="宋体" w:cs="宋体"/>
                <w:b/>
                <w:bCs/>
                <w:i w:val="0"/>
                <w:iCs w:val="0"/>
                <w:color w:val="000000"/>
                <w:kern w:val="0"/>
                <w:sz w:val="21"/>
                <w:szCs w:val="21"/>
                <w:u w:val="none"/>
                <w:vertAlign w:val="baseline"/>
                <w:lang w:val="en-US" w:eastAsia="zh-CN" w:bidi="ar"/>
              </w:rPr>
            </w:pPr>
          </w:p>
        </w:tc>
      </w:tr>
    </w:tbl>
    <w:p>
      <w:pP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注：各学区汇总后将电子稿和学校视频一起打包通过钉钉发送给学生科林道福</w:t>
      </w:r>
      <w:r>
        <w:rPr>
          <w:rFonts w:hint="eastAsia" w:ascii="宋体" w:hAnsi="宋体" w:eastAsia="宋体" w:cs="宋体"/>
          <w:b/>
          <w:bCs/>
          <w:i w:val="0"/>
          <w:iCs w:val="0"/>
          <w:color w:val="000000"/>
          <w:kern w:val="0"/>
          <w:sz w:val="28"/>
          <w:szCs w:val="28"/>
          <w:u w:val="none"/>
          <w:lang w:val="en-US" w:eastAsia="zh-CN" w:bidi="ar"/>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5MDBhNjdkM2ZhOTRhNzJkNzdiZGM4ODE5YzczYTUifQ=="/>
  </w:docVars>
  <w:rsids>
    <w:rsidRoot w:val="00000000"/>
    <w:rsid w:val="61417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2023-03-20T08:42:35Z</dcterms:created>
  <dc:creator>Lenovo</dc:creator>
  <cp:lastModifiedBy>Dao Fu</cp:lastModifiedBy>
  <dcterms:modified xsi:type="dcterms:W3CDTF">2023-03-20T08:42:50Z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53FEACA1F1904E788947C8FA274D957A</vt:lpwstr>
  </property>
</Properties>
</file>