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ind w:right="0"/>
        <w:jc w:val="right"/>
        <w:textAlignment w:val="auto"/>
        <w:rPr>
          <w:rFonts w:hint="eastAsia" w:ascii="仿宋_GB2312"/>
          <w:szCs w:val="32"/>
        </w:rPr>
      </w:pPr>
      <w:bookmarkStart w:id="3" w:name="_GoBack"/>
      <w:bookmarkEnd w:id="3"/>
      <w:bookmarkStart w:id="0" w:name="urgent_degree"/>
      <w:r>
        <w:rPr>
          <w:rFonts w:ascii="Times New Roman" w:hAnsi="Times New Roman" w:eastAsia="仿宋_GB2312" w:cs="Times New Roman"/>
          <w:sz w:val="32"/>
          <w:szCs w:val="32"/>
        </w:rPr>
        <w:t>CYQD01-2023-00</w:t>
      </w:r>
      <w:r>
        <w:rPr>
          <w:rFonts w:hint="eastAsia" w:ascii="Times New Roman" w:hAnsi="Times New Roman" w:eastAsia="仿宋_GB2312" w:cs="Times New Roman"/>
          <w:sz w:val="32"/>
          <w:szCs w:val="32"/>
          <w:lang w:val="en-US" w:eastAsia="zh-CN"/>
        </w:rPr>
        <w:t>12</w:t>
      </w:r>
      <w:bookmarkEnd w:id="0"/>
    </w:p>
    <w:p>
      <w:pPr>
        <w:rPr>
          <w:rFonts w:hint="eastAsia"/>
          <w:sz w:val="28"/>
        </w:rPr>
      </w:pPr>
    </w:p>
    <w:p>
      <w:pPr>
        <w:spacing w:before="401" w:beforeLines="70" w:line="1300" w:lineRule="exact"/>
        <w:ind w:left="-420" w:leftChars="-200" w:right="-506" w:rightChars="-241"/>
        <w:jc w:val="center"/>
        <w:rPr>
          <w:rFonts w:hint="eastAsia" w:ascii="方正小标宋简体" w:hAnsi="宋体" w:eastAsia="方正小标宋简体"/>
          <w:color w:val="FF0000"/>
          <w:w w:val="95"/>
          <w:sz w:val="84"/>
          <w:szCs w:val="84"/>
        </w:rPr>
      </w:pPr>
      <w:r>
        <w:rPr>
          <w:rFonts w:hint="eastAsia" w:ascii="方正小标宋简体" w:hAnsi="宋体" w:eastAsia="方正小标宋简体"/>
          <w:color w:val="FF0000"/>
          <w:w w:val="95"/>
          <w:sz w:val="84"/>
          <w:szCs w:val="84"/>
        </w:rPr>
        <w:t>乐清市人民政府办公室文件</w:t>
      </w:r>
    </w:p>
    <w:p>
      <w:pPr>
        <w:spacing w:before="172" w:beforeLines="30"/>
        <w:rPr>
          <w:rFonts w:hint="eastAsia" w:ascii="仿宋_GB2312"/>
          <w:spacing w:val="20"/>
          <w:w w:val="66"/>
          <w:sz w:val="30"/>
          <w:szCs w:val="30"/>
        </w:rPr>
      </w:pPr>
    </w:p>
    <w:p>
      <w:pPr>
        <w:jc w:val="center"/>
        <w:rPr>
          <w:rFonts w:hint="eastAsia" w:ascii="仿宋_GB2312"/>
          <w:snapToGrid w:val="0"/>
          <w:szCs w:val="32"/>
        </w:rPr>
      </w:pPr>
      <w:bookmarkStart w:id="1" w:name="issue_num"/>
      <w:r>
        <w:rPr>
          <w:rFonts w:hint="default" w:ascii="Times New Roman" w:hAnsi="Times New Roman" w:eastAsia="仿宋_GB2312" w:cs="Times New Roman"/>
          <w:color w:val="000000"/>
          <w:sz w:val="32"/>
          <w:szCs w:val="32"/>
        </w:rPr>
        <w:t>乐政办发〔2023〕</w:t>
      </w:r>
      <w:r>
        <w:rPr>
          <w:rFonts w:hint="eastAsia" w:ascii="Times New Roman" w:hAnsi="Times New Roman" w:eastAsia="仿宋_GB2312" w:cs="Times New Roman"/>
          <w:color w:val="000000"/>
          <w:sz w:val="32"/>
          <w:szCs w:val="32"/>
          <w:lang w:val="en-US" w:eastAsia="zh-CN"/>
        </w:rPr>
        <w:t>46</w:t>
      </w:r>
      <w:r>
        <w:rPr>
          <w:rFonts w:hint="default" w:ascii="Times New Roman" w:hAnsi="Times New Roman" w:eastAsia="仿宋_GB2312" w:cs="Times New Roman"/>
          <w:color w:val="000000"/>
          <w:sz w:val="32"/>
          <w:szCs w:val="32"/>
        </w:rPr>
        <w:t>号</w:t>
      </w:r>
      <w:r>
        <w:rPr>
          <w:rFonts w:hint="eastAsia" w:ascii="仿宋_GB2312"/>
          <w:snapToGrid w:val="0"/>
          <w:szCs w:val="32"/>
        </w:rPr>
        <w:t xml:space="preserve">  </w:t>
      </w:r>
      <w:bookmarkEnd w:id="1"/>
    </w:p>
    <w:p>
      <w:pPr>
        <w:rPr>
          <w:rFonts w:hint="eastAsia" w:eastAsia="楷体_GB2312"/>
          <w:snapToGrid w:val="0"/>
          <w:sz w:val="28"/>
        </w:rPr>
      </w:pPr>
      <w:r>
        <w:rPr>
          <w:rFonts w:hint="eastAsia" w:eastAsia="楷体_GB2312"/>
          <w:sz w:val="28"/>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81915</wp:posOffset>
                </wp:positionV>
                <wp:extent cx="5807075" cy="0"/>
                <wp:effectExtent l="0" t="13970" r="3175" b="24130"/>
                <wp:wrapNone/>
                <wp:docPr id="4" name="直接连接符 4"/>
                <wp:cNvGraphicFramePr/>
                <a:graphic xmlns:a="http://schemas.openxmlformats.org/drawingml/2006/main">
                  <a:graphicData uri="http://schemas.microsoft.com/office/word/2010/wordprocessingShape">
                    <wps:wsp>
                      <wps:cNvCnPr/>
                      <wps:spPr>
                        <a:xfrm flipV="1">
                          <a:off x="0" y="0"/>
                          <a:ext cx="58070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3pt;margin-top:6.45pt;height:0pt;width:457.25pt;z-index:251662336;mso-width-relative:page;mso-height-relative:page;" filled="f" stroked="t" coordsize="21600,21600" o:gfxdata="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6qMudoAAAAJAQAADwAAAAAAAAABACAAAAAiAAAAZHJzL2Rv&#10;d25yZXYueG1sUEsBAhQAFAAAAAgAh07iQCaCYNP/AQAA7wMAAA4AAAAAAAAAAQAgAAAAKQEAAGRy&#10;cy9lMm9Eb2MueG1sUEsFBgAAAAAGAAYAWQEAAJoFAAAAAA==&#10;">
                <v:fill on="f" focussize="0,0"/>
                <v:stroke weight="2.25pt" color="#FF0000" joinstyle="round"/>
                <v:imagedata o:title=""/>
                <o:lock v:ext="edit" aspectratio="f"/>
              </v:line>
            </w:pict>
          </mc:Fallback>
        </mc:AlternateContent>
      </w:r>
    </w:p>
    <w:p>
      <w:pPr>
        <w:jc w:val="center"/>
        <w:rPr>
          <w:rFonts w:hint="eastAsia" w:hAnsi="宋体"/>
          <w:color w:val="000000"/>
          <w:sz w:val="28"/>
          <w:szCs w:val="28"/>
        </w:rPr>
      </w:pPr>
      <w:bookmarkStart w:id="2" w:name="title"/>
      <w:r>
        <w:rPr>
          <w:rFonts w:hint="eastAsia"/>
        </w:rPr>
        <w:t xml:space="preserve"> </w:t>
      </w:r>
      <w:bookmarkEnd w:id="2"/>
    </w:p>
    <w:p>
      <w:pPr>
        <w:keepNext w:val="0"/>
        <w:keepLines w:val="0"/>
        <w:pageBreakBefore w:val="0"/>
        <w:widowControl w:val="0"/>
        <w:kinsoku/>
        <w:wordWrap/>
        <w:overflowPunct w:val="0"/>
        <w:topLinePunct w:val="0"/>
        <w:autoSpaceDE/>
        <w:autoSpaceDN/>
        <w:bidi w:val="0"/>
        <w:adjustRightInd w:val="0"/>
        <w:snapToGrid w:val="0"/>
        <w:spacing w:line="600" w:lineRule="exact"/>
        <w:ind w:left="0" w:leftChars="0" w:firstLine="0" w:firstLineChars="0"/>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000000" w:themeColor="text1"/>
          <w:sz w:val="44"/>
          <w:szCs w:val="44"/>
          <w14:textFill>
            <w14:solidFill>
              <w14:schemeClr w14:val="tx1"/>
            </w14:solidFill>
          </w14:textFill>
        </w:rPr>
      </w:pPr>
      <w:r>
        <w:rPr>
          <w:rFonts w:hint="default" w:ascii="Times New Roman" w:hAnsi="Times New Roman" w:eastAsia="方正小标宋简体" w:cs="Times New Roman"/>
          <w:color w:val="000000" w:themeColor="text1"/>
          <w:sz w:val="44"/>
          <w:szCs w:val="44"/>
          <w14:textFill>
            <w14:solidFill>
              <w14:schemeClr w14:val="tx1"/>
            </w14:solidFill>
          </w14:textFill>
        </w:rPr>
        <w:t>关于印发《</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乐清市公共租赁住房保障办法</w:t>
      </w:r>
      <w:r>
        <w:rPr>
          <w:rFonts w:hint="default" w:ascii="Times New Roman" w:hAnsi="Times New Roman" w:eastAsia="方正小标宋简体" w:cs="Times New Roman"/>
          <w:color w:val="000000" w:themeColor="text1"/>
          <w:sz w:val="44"/>
          <w:szCs w:val="44"/>
          <w14:textFill>
            <w14:solidFill>
              <w14:schemeClr w14:val="tx1"/>
            </w14:solidFill>
          </w14:textFill>
        </w:rPr>
        <w:t>》的通</w:t>
      </w:r>
      <w:r>
        <w:rPr>
          <w:rFonts w:hint="eastAsia" w:ascii="Times New Roman" w:hAnsi="Times New Roman" w:eastAsia="方正小标宋简体" w:cs="Times New Roman"/>
          <w:color w:val="000000" w:themeColor="text1"/>
          <w:sz w:val="44"/>
          <w:szCs w:val="44"/>
          <w:lang w:val="en-US" w:eastAsia="zh-CN"/>
          <w14:textFill>
            <w14:solidFill>
              <w14:schemeClr w14:val="tx1"/>
            </w14:solidFill>
          </w14:textFill>
        </w:rPr>
        <w:t xml:space="preserve">  </w:t>
      </w:r>
      <w:r>
        <w:rPr>
          <w:rFonts w:hint="default" w:ascii="Times New Roman" w:hAnsi="Times New Roman" w:eastAsia="方正小标宋简体" w:cs="Times New Roman"/>
          <w:color w:val="000000" w:themeColor="text1"/>
          <w:sz w:val="44"/>
          <w:szCs w:val="44"/>
          <w14:textFill>
            <w14:solidFill>
              <w14:schemeClr w14:val="tx1"/>
            </w14:solidFill>
          </w14:textFill>
        </w:rPr>
        <w:t>知</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各乡镇人民政府、街道办事处，市政府直属各单位：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58"/>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《乐清市公共租赁住房保障办法》已经</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十七届市政府第二十</w:t>
      </w:r>
      <w:r>
        <w:rPr>
          <w:rFonts w:hint="eastAsia" w:ascii="Times New Roman" w:eastAsia="仿宋_GB2312" w:cs="Times New Roman"/>
          <w:color w:val="000000" w:themeColor="text1"/>
          <w:sz w:val="32"/>
          <w:szCs w:val="32"/>
          <w:lang w:val="en-US" w:eastAsia="zh-CN"/>
          <w14:textFill>
            <w14:solidFill>
              <w14:schemeClr w14:val="tx1"/>
            </w14:solidFill>
          </w14:textFill>
        </w:rPr>
        <w:t>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次常务会审议通过</w:t>
      </w:r>
      <w:r>
        <w:rPr>
          <w:rFonts w:hint="default" w:ascii="Times New Roman" w:hAnsi="Times New Roman" w:eastAsia="仿宋_GB2312" w:cs="Times New Roman"/>
          <w:color w:val="000000" w:themeColor="text1"/>
          <w:sz w:val="32"/>
          <w:szCs w:val="32"/>
          <w14:textFill>
            <w14:solidFill>
              <w14:schemeClr w14:val="tx1"/>
            </w14:solidFill>
          </w14:textFill>
        </w:rPr>
        <w:t>，现印发给你们，请认真组织实施。</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40" w:lineRule="exact"/>
        <w:ind w:firstLine="4640" w:firstLineChars="145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540" w:lineRule="exact"/>
        <w:ind w:firstLine="5056" w:firstLineChars="158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eastAsia="zh-CN"/>
        </w:rPr>
      </w:pPr>
      <w:r>
        <w:rPr>
          <w:rFonts w:hint="eastAsia" w:eastAsia="仿宋_GB2312" w:cs="Times New Roman"/>
          <w:sz w:val="32"/>
          <w:szCs w:val="32"/>
          <w:lang w:eastAsia="zh-CN"/>
        </w:rPr>
        <w:t>（此件公开发布）</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乐清市公共租赁住房保障办法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为进一步规范公共租赁住房（以下简称“公租房”）管理，完善公租房保障制度，健全完善公租房、保障性租赁住房、共有产权住房为主体的城镇住房保障体系，根据《公共租赁住房管理办法》（住房和城乡建设部令第11号）、《住房和城乡建设部 财政部 国家发展改革委关于公共租赁住房和廉租住房并轨运行的通知》（建保〔2013〕178号）、《住房和城乡建设部</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国家发展改革委</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财政部</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kern w:val="0"/>
          <w:sz w:val="32"/>
          <w:szCs w:val="32"/>
          <w14:textFill>
            <w14:solidFill>
              <w14:schemeClr w14:val="tx1"/>
            </w14:solidFill>
          </w14:textFill>
        </w:rPr>
        <w:t>自然资源部关于进一步规范发展公租房的意见》（建保〔2019〕55号）、《浙江省住房和城乡建设厅关于支持推进“浙有善育”工作的若干意见》（浙建〔2022〕7号）、</w:t>
      </w:r>
      <w:r>
        <w:rPr>
          <w:rFonts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温州市人民政府办公室关于印发〈</w:t>
      </w:r>
      <w:r>
        <w:rPr>
          <w:rFonts w:ascii="Times New Roman" w:hAnsi="Times New Roman" w:eastAsia="仿宋_GB2312" w:cs="Times New Roman"/>
          <w:color w:val="000000" w:themeColor="text1"/>
          <w:kern w:val="0"/>
          <w:sz w:val="32"/>
          <w:szCs w:val="32"/>
          <w14:textFill>
            <w14:solidFill>
              <w14:schemeClr w14:val="tx1"/>
            </w14:solidFill>
          </w14:textFill>
        </w:rPr>
        <w:t>温州市区公共租赁住房保障管理办法</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〉的通知</w:t>
      </w:r>
      <w:r>
        <w:rPr>
          <w:rFonts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（温政办〔2023〕42号）等</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文件精神</w:t>
      </w:r>
      <w:r>
        <w:rPr>
          <w:rFonts w:ascii="Times New Roman" w:hAnsi="Times New Roman" w:eastAsia="仿宋_GB2312" w:cs="Times New Roman"/>
          <w:color w:val="000000" w:themeColor="text1"/>
          <w:kern w:val="0"/>
          <w:sz w:val="32"/>
          <w:szCs w:val="32"/>
          <w14:textFill>
            <w14:solidFill>
              <w14:schemeClr w14:val="tx1"/>
            </w14:solidFill>
          </w14:textFill>
        </w:rPr>
        <w:t>，结合我市实际，制定本办法。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一、基本原则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w:t>
      </w:r>
      <w:r>
        <w:rPr>
          <w:rFonts w:ascii="Times New Roman" w:hAnsi="Times New Roman" w:eastAsia="仿宋_GB2312" w:cs="Times New Roman"/>
          <w:color w:val="000000" w:themeColor="text1"/>
          <w:kern w:val="0"/>
          <w:sz w:val="32"/>
          <w:szCs w:val="32"/>
          <w14:textFill>
            <w14:solidFill>
              <w14:schemeClr w14:val="tx1"/>
            </w14:solidFill>
          </w14:textFill>
        </w:rPr>
        <w:t>本市行政区域内公租房保障及其监督管理，适用本办法。</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（二）本</w:t>
      </w:r>
      <w:r>
        <w:rPr>
          <w:rFonts w:ascii="Times New Roman" w:hAnsi="Times New Roman" w:eastAsia="仿宋_GB2312" w:cs="Times New Roman"/>
          <w:color w:val="000000" w:themeColor="text1"/>
          <w:kern w:val="0"/>
          <w:sz w:val="32"/>
          <w:szCs w:val="32"/>
          <w14:textFill>
            <w14:solidFill>
              <w14:schemeClr w14:val="tx1"/>
            </w14:solidFill>
          </w14:textFill>
        </w:rPr>
        <w:t>办法所称公租房保障，是指政府通过租赁补贴或者实物配租的方式，为符合规定条件的城镇中等偏下</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及以下</w:t>
      </w:r>
      <w:r>
        <w:rPr>
          <w:rFonts w:ascii="Times New Roman" w:hAnsi="Times New Roman" w:eastAsia="仿宋_GB2312" w:cs="Times New Roman"/>
          <w:color w:val="000000" w:themeColor="text1"/>
          <w:kern w:val="0"/>
          <w:sz w:val="32"/>
          <w:szCs w:val="32"/>
          <w14:textFill>
            <w14:solidFill>
              <w14:schemeClr w14:val="tx1"/>
            </w14:solidFill>
          </w14:textFill>
        </w:rPr>
        <w:t>收入住房困难家庭（具体保障范围划定将另行规定）和在本市新就业大学毕业生、稳定就业的新居民提供住房保障。</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租赁补贴是指政府向公租房保障对象发放货币补贴，由保障对象自行承租市场住房的保障方式。</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实物配租是指由保障对象承租政府提供或者社会力量投资建设的公租房，并按照政府规定或指导的公租房租金标准缴纳租金的保障方式。</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（三）本办法的准入条件</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实物配租和租赁补贴规定，适用于城镇中等偏下及以下收入住房困难家庭。在本市新就业大学毕业生及稳定就业的新居民申请公租房保障的，根据我市人才、新居民等有关政策文件执行。</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（四）公租房保障应当遵循保障基本居住需要以及政府主导、社会参与，统筹规划、分步保障，公平公开、规范管理的原则。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（五）已建成并分配入住的廉租住房统一纳入公共租赁住房管理，其租金水平仍按原有租金标准执行</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（六）市</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负责监督、指导和组织实施公租房保障工作；属地乡镇（街道）负责公租房保障的</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线下</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申请受理和初审等工作；</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法院、</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发改</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教育</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财政</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人力社保</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农业农村</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卫生健康</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退役军人事务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审计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市场监管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统计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新居民服务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中心</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金融工作服务</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中心</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14:textFill>
            <w14:solidFill>
              <w14:schemeClr w14:val="tx1"/>
            </w14:solidFill>
          </w14:textFill>
        </w:rPr>
        <w:t>市住房公积金管理中心</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总工会、</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残联等</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单位要按照职责分工，协同做好公租房保障工作。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（七）公租房保障的申请、受理、审核、变更、退出等纳入浙江省住房保障统一管理系统（以下简称“</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管理系统”）管理。</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利用</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管理系统，完善公租房档</w:t>
      </w:r>
      <w:r>
        <w:rPr>
          <w:rFonts w:ascii="Times New Roman" w:hAnsi="Times New Roman" w:eastAsia="仿宋_GB2312" w:cs="Times New Roman"/>
          <w:color w:val="000000" w:themeColor="text1"/>
          <w:kern w:val="0"/>
          <w:sz w:val="32"/>
          <w:szCs w:val="32"/>
          <w14:textFill>
            <w14:solidFill>
              <w14:schemeClr w14:val="tx1"/>
            </w14:solidFill>
          </w14:textFill>
        </w:rPr>
        <w:t>案管理，加强信用体系建设</w:t>
      </w:r>
      <w:r>
        <w:rPr>
          <w:rFonts w:hint="eastAsia" w:asci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通过省大救助信息系统开展经济状况核对</w:t>
      </w:r>
      <w:r>
        <w:rPr>
          <w:rFonts w:hint="eastAsia" w:asci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其他有关部门</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color w:val="000000" w:themeColor="text1"/>
          <w:kern w:val="0"/>
          <w:sz w:val="32"/>
          <w:szCs w:val="32"/>
          <w14:textFill>
            <w14:solidFill>
              <w14:schemeClr w14:val="tx1"/>
            </w14:solidFill>
          </w14:textFill>
        </w:rPr>
        <w:t>及时准确提供相关信息数据，为保障家庭的审核认定和核查提供依据。</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（八）</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会同</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发改</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民政</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财政</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等，根据我市经济社会发展水</w:t>
      </w:r>
      <w:r>
        <w:rPr>
          <w:rFonts w:ascii="Times New Roman" w:hAnsi="Times New Roman" w:eastAsia="仿宋_GB2312" w:cs="Times New Roman"/>
          <w:color w:val="000000" w:themeColor="text1"/>
          <w:kern w:val="0"/>
          <w:sz w:val="32"/>
          <w:szCs w:val="32"/>
          <w14:textFill>
            <w14:solidFill>
              <w14:schemeClr w14:val="tx1"/>
            </w14:solidFill>
          </w14:textFill>
        </w:rPr>
        <w:t>平、居民收入和住房状况以及财政收入状况等因素，编制公租房保障发展规划和年度计划，制定并适时调整公租房保障的准入条件、保障面积标准</w:t>
      </w:r>
      <w:r>
        <w:rPr>
          <w:rFonts w:hint="eastAsia" w:asci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租赁补贴标准</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等</w:t>
      </w:r>
      <w:r>
        <w:rPr>
          <w:rFonts w:ascii="Times New Roman" w:hAnsi="Times New Roman" w:eastAsia="仿宋_GB2312" w:cs="Times New Roman"/>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s="黑体"/>
          <w:b w:val="0"/>
          <w:bCs w:val="0"/>
          <w:color w:val="000000" w:themeColor="text1"/>
          <w:kern w:val="0"/>
          <w:sz w:val="32"/>
          <w:szCs w:val="32"/>
          <w14:textFill>
            <w14:solidFill>
              <w14:schemeClr w14:val="tx1"/>
            </w14:solidFill>
          </w14:textFill>
        </w:rPr>
      </w:pPr>
      <w:r>
        <w:rPr>
          <w:rFonts w:ascii="黑体" w:hAnsi="黑体" w:eastAsia="黑体" w:cs="黑体"/>
          <w:b w:val="0"/>
          <w:bCs w:val="0"/>
          <w:color w:val="000000" w:themeColor="text1"/>
          <w:kern w:val="0"/>
          <w:sz w:val="32"/>
          <w:szCs w:val="32"/>
          <w14:textFill>
            <w14:solidFill>
              <w14:schemeClr w14:val="tx1"/>
            </w14:solidFill>
          </w14:textFill>
        </w:rPr>
        <w:t>二、资金保障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eastAsia" w:ascii="Times New Roman" w:hAnsi="Times New Roman" w:eastAsia="仿宋_GB2312" w:cs="Times New Roman"/>
          <w:b w:val="0"/>
          <w:bCs w:val="0"/>
          <w:color w:val="000000" w:themeColor="text1"/>
          <w:kern w:val="0"/>
          <w:sz w:val="32"/>
          <w:szCs w:val="32"/>
          <w14:textFill>
            <w14:solidFill>
              <w14:schemeClr w14:val="tx1"/>
            </w14:solidFill>
          </w14:textFill>
        </w:rPr>
        <w:t>（一） 公租房保障资金来源包括：</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中央、省财政专项补助资金；</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财政公共预算安排资金；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val="0"/>
        <w:topLinePunct w:val="0"/>
        <w:autoSpaceDE/>
        <w:autoSpaceDN/>
        <w:bidi w:val="0"/>
        <w:adjustRightInd w:val="0"/>
        <w:snapToGrid w:val="0"/>
        <w:spacing w:before="0" w:beforeAutospacing="0" w:after="0" w:afterAutospacing="0" w:line="560" w:lineRule="exact"/>
        <w:ind w:left="0" w:right="0" w:firstLine="640" w:firstLineChars="200"/>
        <w:contextualSpacing w:val="0"/>
        <w:jc w:val="both"/>
        <w:textAlignment w:val="auto"/>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pP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3</w:t>
      </w:r>
      <w:r>
        <w:rPr>
          <w:rFonts w:hint="eastAsia" w:ascii="Times New Roman" w:hAnsi="Times New Roman" w:eastAsia="仿宋" w:cs="Times New Roman"/>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从土地出让金提取的资金；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val="0"/>
        <w:topLinePunct w:val="0"/>
        <w:autoSpaceDE/>
        <w:autoSpaceDN/>
        <w:bidi w:val="0"/>
        <w:adjustRightInd w:val="0"/>
        <w:snapToGrid w:val="0"/>
        <w:spacing w:before="0" w:beforeAutospacing="0" w:after="0" w:afterAutospacing="0" w:line="560" w:lineRule="exact"/>
        <w:ind w:left="0" w:right="0" w:firstLine="640" w:firstLineChars="200"/>
        <w:contextualSpacing w:val="0"/>
        <w:jc w:val="both"/>
        <w:textAlignment w:val="auto"/>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pP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4</w:t>
      </w:r>
      <w:r>
        <w:rPr>
          <w:rFonts w:hint="eastAsia" w:ascii="Times New Roman" w:hAnsi="Times New Roman" w:eastAsia="仿宋" w:cs="Times New Roman"/>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提取贷款风险准备金和管理费用后的住房公积金增值收益余额；</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val="0"/>
        <w:topLinePunct w:val="0"/>
        <w:autoSpaceDE/>
        <w:autoSpaceDN/>
        <w:bidi w:val="0"/>
        <w:adjustRightInd w:val="0"/>
        <w:snapToGrid w:val="0"/>
        <w:spacing w:before="0" w:beforeAutospacing="0" w:after="0" w:afterAutospacing="0" w:line="560" w:lineRule="exact"/>
        <w:ind w:left="0" w:right="0" w:firstLine="640" w:firstLineChars="200"/>
        <w:contextualSpacing w:val="0"/>
        <w:jc w:val="both"/>
        <w:textAlignment w:val="auto"/>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pP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5</w:t>
      </w:r>
      <w:r>
        <w:rPr>
          <w:rFonts w:hint="eastAsia" w:ascii="Times New Roman" w:hAnsi="Times New Roman" w:eastAsia="仿宋" w:cs="Times New Roman"/>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出租、出售保障性住房及其配套用房和设施回收的资金；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val="0"/>
        <w:topLinePunct w:val="0"/>
        <w:autoSpaceDE/>
        <w:autoSpaceDN/>
        <w:bidi w:val="0"/>
        <w:adjustRightInd w:val="0"/>
        <w:snapToGrid w:val="0"/>
        <w:spacing w:before="0" w:beforeAutospacing="0" w:after="0" w:afterAutospacing="0" w:line="560" w:lineRule="exact"/>
        <w:ind w:left="0" w:right="0" w:firstLine="640" w:firstLineChars="200"/>
        <w:contextualSpacing w:val="0"/>
        <w:jc w:val="both"/>
        <w:textAlignment w:val="auto"/>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pP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6</w:t>
      </w:r>
      <w:r>
        <w:rPr>
          <w:rFonts w:hint="eastAsia" w:ascii="Times New Roman" w:hAnsi="Times New Roman" w:eastAsia="仿宋" w:cs="Times New Roman"/>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通过融资方式筹集的资金；</w:t>
      </w:r>
    </w:p>
    <w:p>
      <w:pPr>
        <w:pStyle w:val="10"/>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val="0"/>
        <w:topLinePunct w:val="0"/>
        <w:autoSpaceDE/>
        <w:autoSpaceDN/>
        <w:bidi w:val="0"/>
        <w:adjustRightInd w:val="0"/>
        <w:snapToGrid w:val="0"/>
        <w:spacing w:before="0" w:beforeAutospacing="0" w:after="0" w:afterAutospacing="0" w:line="560" w:lineRule="exact"/>
        <w:ind w:left="0" w:right="0" w:firstLine="640" w:firstLineChars="200"/>
        <w:contextualSpacing w:val="0"/>
        <w:jc w:val="both"/>
        <w:textAlignment w:val="auto"/>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pP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7</w:t>
      </w:r>
      <w:r>
        <w:rPr>
          <w:rFonts w:hint="eastAsia" w:ascii="Times New Roman" w:hAnsi="Times New Roman" w:eastAsia="仿宋" w:cs="Times New Roman"/>
          <w:b w:val="0"/>
          <w:bCs w:val="0"/>
          <w:i w:val="0"/>
          <w:iCs w:val="0"/>
          <w:caps w:val="0"/>
          <w:smallCaps w:val="0"/>
          <w:vanish w:val="0"/>
          <w:color w:val="000000" w:themeColor="text1"/>
          <w:spacing w:val="0"/>
          <w:sz w:val="32"/>
          <w:szCs w:val="32"/>
          <w:lang w:eastAsia="zh-CN"/>
          <w14:textFill>
            <w14:solidFill>
              <w14:schemeClr w14:val="tx1"/>
            </w14:solidFill>
          </w14:textFill>
        </w:rPr>
        <w:t>．</w:t>
      </w:r>
      <w:r>
        <w:rPr>
          <w:rFonts w:ascii="Times New Roman" w:hAnsi="Times New Roman" w:eastAsia="仿宋" w:cs="Times New Roman"/>
          <w:b w:val="0"/>
          <w:bCs w:val="0"/>
          <w:i w:val="0"/>
          <w:iCs w:val="0"/>
          <w:caps w:val="0"/>
          <w:smallCaps w:val="0"/>
          <w:vanish w:val="0"/>
          <w:color w:val="000000" w:themeColor="text1"/>
          <w:spacing w:val="0"/>
          <w:sz w:val="32"/>
          <w:szCs w:val="32"/>
          <w14:textFill>
            <w14:solidFill>
              <w14:schemeClr w14:val="tx1"/>
            </w14:solidFill>
          </w14:textFill>
        </w:rPr>
        <w:t>社会捐赠、其他方式筹集的资金。</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w:t>
      </w:r>
      <w:r>
        <w:rPr>
          <w:rFonts w:ascii="Times New Roman" w:hAnsi="Times New Roman" w:eastAsia="仿宋_GB2312" w:cs="Times New Roman"/>
          <w:color w:val="000000" w:themeColor="text1"/>
          <w:kern w:val="0"/>
          <w:sz w:val="32"/>
          <w:szCs w:val="32"/>
          <w14:textFill>
            <w14:solidFill>
              <w14:schemeClr w14:val="tx1"/>
            </w14:solidFill>
          </w14:textFill>
        </w:rPr>
        <w:t>公租房保障资金专项用于公租房房源建设筹集、发放租赁补贴、购买运营管理服务、租金减免，以及政府投资的公租房的管理、房源维修维护、物业管理等相关费用。</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财政</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color w:val="000000" w:themeColor="text1"/>
          <w:kern w:val="0"/>
          <w:sz w:val="32"/>
          <w:szCs w:val="32"/>
          <w14:textFill>
            <w14:solidFill>
              <w14:schemeClr w14:val="tx1"/>
            </w14:solidFill>
          </w14:textFill>
        </w:rPr>
        <w:t>、</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color w:val="000000" w:themeColor="text1"/>
          <w:kern w:val="0"/>
          <w:sz w:val="32"/>
          <w:szCs w:val="32"/>
          <w14:textFill>
            <w14:solidFill>
              <w14:schemeClr w14:val="tx1"/>
            </w14:solidFill>
          </w14:textFill>
        </w:rPr>
        <w:t>审计</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color w:val="000000" w:themeColor="text1"/>
          <w:kern w:val="0"/>
          <w:sz w:val="32"/>
          <w:szCs w:val="32"/>
          <w14:textFill>
            <w14:solidFill>
              <w14:schemeClr w14:val="tx1"/>
            </w14:solidFill>
          </w14:textFill>
        </w:rPr>
        <w:t>等部门</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color w:val="000000" w:themeColor="text1"/>
          <w:kern w:val="0"/>
          <w:sz w:val="32"/>
          <w:szCs w:val="32"/>
          <w14:textFill>
            <w14:solidFill>
              <w14:schemeClr w14:val="tx1"/>
            </w14:solidFill>
          </w14:textFill>
        </w:rPr>
        <w:t>依法对公租房保障资金使用情况进行监督。</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s="黑体"/>
          <w:b w:val="0"/>
          <w:bCs w:val="0"/>
          <w:color w:val="000000" w:themeColor="text1"/>
          <w:kern w:val="0"/>
          <w:sz w:val="32"/>
          <w:szCs w:val="32"/>
          <w14:textFill>
            <w14:solidFill>
              <w14:schemeClr w14:val="tx1"/>
            </w14:solidFill>
          </w14:textFill>
        </w:rPr>
      </w:pPr>
      <w:r>
        <w:rPr>
          <w:rFonts w:ascii="黑体" w:hAnsi="黑体" w:eastAsia="黑体" w:cs="黑体"/>
          <w:b w:val="0"/>
          <w:bCs w:val="0"/>
          <w:color w:val="000000" w:themeColor="text1"/>
          <w:kern w:val="0"/>
          <w:sz w:val="32"/>
          <w:szCs w:val="32"/>
          <w14:textFill>
            <w14:solidFill>
              <w14:schemeClr w14:val="tx1"/>
            </w14:solidFill>
          </w14:textFill>
        </w:rPr>
        <w:t>三、 房源筹集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（一）公租房房源由政府提供政策支持，通过新建、改建、配建、购买、调剂及市场租赁等方式筹集。主要包括：</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政府出资建设或者购买的住房；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已建成的廉租住房转为公租房；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在普通商品住房开发和棚户区改造、城中村改造项目中配建；</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调剂、市场租赁、社会捐赠的其他住房；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其他途径筹集的住房。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（二）公租房的规划、建设及装修标准应当符合国家和省有关规定。</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（三） 公租房建设筹集应当坚持小户型、适用原则，提供简约、环保的基本装修，配置必要的生</w:t>
      </w:r>
      <w:r>
        <w:rPr>
          <w:rFonts w:ascii="Times New Roman" w:hAnsi="Times New Roman" w:eastAsia="仿宋_GB2312" w:cs="Times New Roman"/>
          <w:color w:val="000000" w:themeColor="text1"/>
          <w:kern w:val="0"/>
          <w:sz w:val="32"/>
          <w:szCs w:val="32"/>
          <w14:textFill>
            <w14:solidFill>
              <w14:schemeClr w14:val="tx1"/>
            </w14:solidFill>
          </w14:textFill>
        </w:rPr>
        <w:t>活设施，满足拎包入住的基本要求。</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（四）公租房的建设、</w:t>
      </w:r>
      <w:r>
        <w:rPr>
          <w:rFonts w:ascii="Times New Roman" w:hAnsi="Times New Roman" w:eastAsia="仿宋_GB2312" w:cs="Times New Roman"/>
          <w:color w:val="000000" w:themeColor="text1"/>
          <w:kern w:val="0"/>
          <w:sz w:val="32"/>
          <w:szCs w:val="32"/>
          <w14:textFill>
            <w14:solidFill>
              <w14:schemeClr w14:val="tx1"/>
            </w14:solidFill>
          </w14:textFill>
        </w:rPr>
        <w:t>购买、租赁和运营等，相应享受国家、省规定的用地保障、税费减免、资金和信贷支持等优惠政策。</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s="黑体"/>
          <w:b w:val="0"/>
          <w:bCs w:val="0"/>
          <w:color w:val="000000" w:themeColor="text1"/>
          <w:kern w:val="0"/>
          <w:sz w:val="32"/>
          <w:szCs w:val="32"/>
          <w14:textFill>
            <w14:solidFill>
              <w14:schemeClr w14:val="tx1"/>
            </w14:solidFill>
          </w14:textFill>
        </w:rPr>
      </w:pPr>
      <w:r>
        <w:rPr>
          <w:rFonts w:ascii="黑体" w:hAnsi="黑体" w:eastAsia="黑体" w:cs="黑体"/>
          <w:b w:val="0"/>
          <w:bCs w:val="0"/>
          <w:color w:val="000000" w:themeColor="text1"/>
          <w:kern w:val="0"/>
          <w:sz w:val="32"/>
          <w:szCs w:val="32"/>
          <w14:textFill>
            <w14:solidFill>
              <w14:schemeClr w14:val="tx1"/>
            </w14:solidFill>
          </w14:textFill>
        </w:rPr>
        <w:t>四、准入管理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（一）申请公租房保障</w:t>
      </w:r>
      <w:r>
        <w:rPr>
          <w:rFonts w:ascii="Times New Roman" w:hAnsi="Times New Roman" w:eastAsia="仿宋_GB2312" w:cs="Times New Roman"/>
          <w:color w:val="000000" w:themeColor="text1"/>
          <w:kern w:val="0"/>
          <w:sz w:val="32"/>
          <w:szCs w:val="32"/>
          <w14:textFill>
            <w14:solidFill>
              <w14:schemeClr w14:val="tx1"/>
            </w14:solidFill>
          </w14:textFill>
        </w:rPr>
        <w:t>的中等偏下及以下收入住房困难家庭</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应当确定一名具有完全民事行为能力的家庭成员作为主申请人，其配偶和未婚子女作为共同申请人。单身未婚且年满</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35</w:t>
      </w:r>
      <w:r>
        <w:rPr>
          <w:rFonts w:ascii="Times New Roman" w:hAnsi="Times New Roman" w:eastAsia="仿宋_GB2312" w:cs="Times New Roman"/>
          <w:color w:val="000000" w:themeColor="text1"/>
          <w:kern w:val="0"/>
          <w:sz w:val="32"/>
          <w:szCs w:val="32"/>
          <w14:textFill>
            <w14:solidFill>
              <w14:schemeClr w14:val="tx1"/>
            </w14:solidFill>
          </w14:textFill>
        </w:rPr>
        <w:t>周岁的，可作为一个独立家庭申请。申请人不具备完全民事行为能力的，由监护人代为申请。</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lang w:eastAsia="zh-CN"/>
          <w14:textFill>
            <w14:solidFill>
              <w14:schemeClr w14:val="tx1"/>
            </w14:solidFill>
          </w14:textFill>
        </w:rPr>
      </w:pPr>
      <w:r>
        <w:rPr>
          <w:rFonts w:ascii="Times New Roman" w:hAnsi="Times New Roman" w:eastAsia="仿宋_GB2312" w:cs="Times New Roman"/>
          <w:color w:val="000000" w:themeColor="text1"/>
          <w:kern w:val="0"/>
          <w:sz w:val="32"/>
          <w:szCs w:val="32"/>
          <w:lang w:eastAsia="zh-CN"/>
          <w14:textFill>
            <w14:solidFill>
              <w14:schemeClr w14:val="tx1"/>
            </w14:solidFill>
          </w14:textFill>
        </w:rPr>
        <w:t>申请公租房租赁补贴保障的低保、低保边缘、分散供养的特困家庭，单身未婚未满</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35周岁的，可作为一个独立家庭申请。</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经</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市民政局</w:t>
      </w:r>
      <w:r>
        <w:rPr>
          <w:rFonts w:ascii="Times New Roman" w:hAnsi="Times New Roman" w:eastAsia="仿宋_GB2312" w:cs="Times New Roman"/>
          <w:color w:val="000000" w:themeColor="text1"/>
          <w:kern w:val="0"/>
          <w:sz w:val="32"/>
          <w:szCs w:val="32"/>
          <w14:textFill>
            <w14:solidFill>
              <w14:schemeClr w14:val="tx1"/>
            </w14:solidFill>
          </w14:textFill>
        </w:rPr>
        <w:t>认定的低保家庭、低保边缘家庭、分散供养的特困家庭</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等</w:t>
      </w:r>
      <w:r>
        <w:rPr>
          <w:rFonts w:ascii="Times New Roman" w:hAnsi="Times New Roman" w:eastAsia="仿宋_GB2312" w:cs="Times New Roman"/>
          <w:color w:val="000000" w:themeColor="text1"/>
          <w:kern w:val="0"/>
          <w:sz w:val="32"/>
          <w:szCs w:val="32"/>
          <w14:textFill>
            <w14:solidFill>
              <w14:schemeClr w14:val="tx1"/>
            </w14:solidFill>
          </w14:textFill>
        </w:rPr>
        <w:t>低收入家庭，可以将相关证书载</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明的其他家庭成员作为共同申请人。</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（二）申请公租房保障的家庭，应当同时具备下列条件：</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申请人具有本市</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居民</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户籍；</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2</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申请家庭在本市无住房或者人均住房建筑面积在18平方米（含）以下，且</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年内无转让住房记录</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3</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无住房家庭人均年收入低于本市上年度城镇居民人均可支配收入，有住房家庭人均年收入低于本市上年度城镇居民人均可支配收入的80%；</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4</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申请家庭无非营运机动车辆或仅有1辆非营运机动车辆且价格在12万元以下（以机动车销售统一发票上计税金额为准）；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申请家庭在各类企业（市场主体）投资及再投资中认缴出资额累计低于30万元；</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6</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申请家庭人均货币财产低于本市上年度城镇居民人均可支配收入的2倍；</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7、未享受政府住房优惠政策。</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（三）</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申请公租房保障家庭在本市住房核查范围：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私有住房；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2</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承租的公有住房；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3</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实行产权调换的征收（拆迁）待安置住房；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4</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 xml:space="preserve">已签订商品房买卖合同并备案的期房；  </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5</w:t>
      </w:r>
      <w:r>
        <w:rPr>
          <w:rFonts w:hint="eastAsia"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住建部门可以认定的其他住房。</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四）公租房保障采用线上或线下申请方式。线上申请的，申请人可在浙江政务服务网或“浙里办”APP公租房申办事项中提交申请；线下申请的，申请人可向当地行政服务窗口或乡镇（街道）指定的受理窗口办理申请。</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线下</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申请公租房保障，由申请人户籍所在乡镇（街道）负责受理。申请人应当按规定如实填写、提交相关申请材料，并签署家庭收入、住房和财产情况等查询授权书。</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乡镇（街道）自申请受理之日</w:t>
      </w:r>
      <w:r>
        <w:rPr>
          <w:rFonts w:ascii="Times New Roman" w:hAnsi="Times New Roman" w:eastAsia="仿宋_GB2312" w:cs="Times New Roman"/>
          <w:color w:val="000000" w:themeColor="text1"/>
          <w:kern w:val="0"/>
          <w:sz w:val="32"/>
          <w:szCs w:val="32"/>
          <w14:textFill>
            <w14:solidFill>
              <w14:schemeClr w14:val="tx1"/>
            </w14:solidFill>
          </w14:textFill>
        </w:rPr>
        <w:t>起4个工作日内完成初审工作，并</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向市住建局</w:t>
      </w:r>
      <w:r>
        <w:rPr>
          <w:rFonts w:ascii="Times New Roman" w:hAnsi="Times New Roman" w:eastAsia="仿宋_GB2312" w:cs="Times New Roman"/>
          <w:color w:val="000000" w:themeColor="text1"/>
          <w:kern w:val="0"/>
          <w:sz w:val="32"/>
          <w:szCs w:val="32"/>
          <w14:textFill>
            <w14:solidFill>
              <w14:schemeClr w14:val="tx1"/>
            </w14:solidFill>
          </w14:textFill>
        </w:rPr>
        <w:t>提交初审</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意见</w:t>
      </w:r>
      <w:r>
        <w:rPr>
          <w:rFonts w:ascii="Times New Roman" w:hAnsi="Times New Roman" w:eastAsia="仿宋_GB2312" w:cs="Times New Roman"/>
          <w:color w:val="000000" w:themeColor="text1"/>
          <w:kern w:val="0"/>
          <w:sz w:val="32"/>
          <w:szCs w:val="32"/>
          <w14:textFill>
            <w14:solidFill>
              <w14:schemeClr w14:val="tx1"/>
            </w14:solidFill>
          </w14:textFill>
        </w:rPr>
        <w:t>和申请材料。</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自收到初审意见和申请材料之日起18个工作日内完成对申请家庭住房、收入和财产状况的审核。</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五</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）对经审核符合规定条件的申请家庭，由</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在</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乐清</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市人民政府网站公示3个工作日，接受社会监督。经公示无异议或者异议不成立的，由</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建局</w:t>
      </w:r>
      <w:r>
        <w:rPr>
          <w:rFonts w:ascii="Times New Roman" w:hAnsi="Times New Roman" w:eastAsia="仿宋_GB2312" w:cs="Times New Roman"/>
          <w:color w:val="000000" w:themeColor="text1"/>
          <w:kern w:val="0"/>
          <w:sz w:val="32"/>
          <w:szCs w:val="32"/>
          <w14:textFill>
            <w14:solidFill>
              <w14:schemeClr w14:val="tx1"/>
            </w14:solidFill>
          </w14:textFill>
        </w:rPr>
        <w:t>登记</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为公租房保障家庭。</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六</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）对经审核不符合规定条件的申请家庭，</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以书面或电话、短信、</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乐清</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市人民政府网站公布等形式告知申请人并说明理由。申请人对审核结果有异议的，应当在收到告知后3个工作日内向</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申请复核。</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牵头组织</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有关部门进行复核，并在15个工作日内将复核结果书面告知申请人。数据来源单位</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和</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相关职能部门应协助</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开展</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复核和解释工作。</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七</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公租房保障从申请受理到保障资格确认完毕，不超过25个工作日；情况复杂的，不超过40个工作日。</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（八）对符合规定条件的分散供养的特困家庭、住房困难的低保和低保边缘家庭，依申请做到应保尽保。</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五、实物配租</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（一）中等偏下及以下收入住房困难家庭的公租房实物配租房源由政府统筹安排，并优先配</w:t>
      </w:r>
      <w:r>
        <w:rPr>
          <w:rFonts w:ascii="Times New Roman" w:hAnsi="Times New Roman" w:eastAsia="仿宋_GB2312" w:cs="Times New Roman"/>
          <w:color w:val="000000" w:themeColor="text1"/>
          <w:kern w:val="0"/>
          <w:sz w:val="32"/>
          <w:szCs w:val="32"/>
          <w14:textFill>
            <w14:solidFill>
              <w14:schemeClr w14:val="tx1"/>
            </w14:solidFill>
          </w14:textFill>
        </w:rPr>
        <w:t>租给</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低保家庭、低保边缘家庭、分散供养的特困家庭</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2．</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享受国家定期抚恤补助的优抚对象、</w:t>
      </w:r>
      <w:r>
        <w:rPr>
          <w:rFonts w:ascii="Times New Roman" w:hAnsi="Times New Roman" w:eastAsia="仿宋_GB2312" w:cs="Times New Roman"/>
          <w:color w:val="000000" w:themeColor="text1"/>
          <w:kern w:val="0"/>
          <w:sz w:val="32"/>
          <w:szCs w:val="32"/>
          <w14:textFill>
            <w14:solidFill>
              <w14:schemeClr w14:val="tx1"/>
            </w14:solidFill>
          </w14:textFill>
        </w:rPr>
        <w:t>现役军人军属、“三属”（烈士遗属、因公牺牲军人遗属、病故军人遗属）和其他优抚对象</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，3．</w:t>
      </w:r>
      <w:r>
        <w:rPr>
          <w:rFonts w:ascii="Times New Roman" w:hAnsi="Times New Roman" w:eastAsia="仿宋_GB2312" w:cs="Times New Roman"/>
          <w:color w:val="000000" w:themeColor="text1"/>
          <w:kern w:val="0"/>
          <w:sz w:val="32"/>
          <w:szCs w:val="32"/>
          <w14:textFill>
            <w14:solidFill>
              <w14:schemeClr w14:val="tx1"/>
            </w14:solidFill>
          </w14:textFill>
        </w:rPr>
        <w:t>一级和二级残疾人、见义勇为人员、英雄模范、市级以上劳动模范、三孩家庭、计划生育特殊困难家庭、主要劳动力丧失劳动能力的家庭</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4．</w:t>
      </w:r>
      <w:r>
        <w:rPr>
          <w:rFonts w:ascii="Times New Roman" w:hAnsi="Times New Roman" w:eastAsia="仿宋_GB2312" w:cs="Times New Roman"/>
          <w:color w:val="000000" w:themeColor="text1"/>
          <w:kern w:val="0"/>
          <w:sz w:val="32"/>
          <w:szCs w:val="32"/>
          <w14:textFill>
            <w14:solidFill>
              <w14:schemeClr w14:val="tx1"/>
            </w14:solidFill>
          </w14:textFill>
        </w:rPr>
        <w:t>其他依法应当优先保障的家庭</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color w:val="000000" w:themeColor="text1"/>
          <w:kern w:val="0"/>
          <w:sz w:val="32"/>
          <w:szCs w:val="32"/>
          <w14:textFill>
            <w14:solidFill>
              <w14:schemeClr w14:val="tx1"/>
            </w14:solidFill>
          </w14:textFill>
        </w:rPr>
        <w:t>根据房源和保障家庭等实际情况，制定具体实物配租方案，明确配租条件及优先配租对象，报市政府批</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准后公布实施。</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（二）公租房保障实物配租实行轮候制，轮候期间按相应标准发放租赁补贴。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（三）公租房所有权人、或者其委托的运营单位</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与实物配租保障家庭签订租赁合同。租赁合同中</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明确合同编号、出租人信息、承租人和共同承租人信息、公租房信息（含地址、面积、装修、设施等情况）、租赁期限及用途、租金押金及支付方式、租赁期间相关费用、房屋使用及修缮、房屋退出与验收、违约责任、争议解决方式等相关事项。租赁合同期限一般不超过5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（四）公租房实物配租房源的租金标准，按照适当低于同类地段、相同品质普通商品住房市场平均租金的原则，结合保障家庭支付能力、建设与运营成本等因素，由</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发改</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会同</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财政</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等部门分类制定并适时调整，报市政府批准后公布执行。</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（五） 公租房承租人应当按照公租房租金标准按时缴纳租金。符合优先实物配租条件的</w:t>
      </w:r>
      <w:r>
        <w:rPr>
          <w:rFonts w:ascii="Times New Roman" w:hAnsi="Times New Roman" w:eastAsia="仿宋_GB2312" w:cs="Times New Roman"/>
          <w:color w:val="000000" w:themeColor="text1"/>
          <w:kern w:val="0"/>
          <w:sz w:val="32"/>
          <w:szCs w:val="32"/>
          <w14:textFill>
            <w14:solidFill>
              <w14:schemeClr w14:val="tx1"/>
            </w14:solidFill>
          </w14:textFill>
        </w:rPr>
        <w:t>保障家庭及其他符合租金减免政策的家庭承租公租房的，在保障面积标准内实行租金免</w:t>
      </w:r>
      <w:r>
        <w:rPr>
          <w:rFonts w:ascii="Times New Roman" w:hAnsi="Times New Roman" w:eastAsia="仿宋_GB2312" w:cs="Times New Roman"/>
          <w:color w:val="000000" w:themeColor="text1"/>
          <w:kern w:val="0"/>
          <w:sz w:val="32"/>
          <w:szCs w:val="32"/>
          <w:lang w:eastAsia="zh-CN"/>
          <w14:textFill>
            <w14:solidFill>
              <w14:schemeClr w14:val="tx1"/>
            </w14:solidFill>
          </w14:textFill>
        </w:rPr>
        <w:t>收</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超出保障面积标准的按</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原</w:t>
      </w:r>
      <w:r>
        <w:rPr>
          <w:rFonts w:ascii="Times New Roman" w:hAnsi="Times New Roman" w:eastAsia="仿宋_GB2312" w:cs="Times New Roman"/>
          <w:color w:val="000000" w:themeColor="text1"/>
          <w:kern w:val="0"/>
          <w:sz w:val="32"/>
          <w:szCs w:val="32"/>
          <w14:textFill>
            <w14:solidFill>
              <w14:schemeClr w14:val="tx1"/>
            </w14:solidFill>
          </w14:textFill>
        </w:rPr>
        <w:t>租金标准缴纳。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公租房保障家庭收入、住房和财产等情况发生变化但仍符合保障条件的，应当相应调整租金标准或补贴标准。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（六）中等偏下及以下收入住房困难家庭的实物配租人均保障面积标准为18平方米</w:t>
      </w:r>
      <w:r>
        <w:rPr>
          <w:rFonts w:ascii="Times New Roman" w:hAnsi="Times New Roman" w:eastAsia="仿宋_GB2312" w:cs="Times New Roman"/>
          <w:color w:val="000000" w:themeColor="text1"/>
          <w:kern w:val="0"/>
          <w:sz w:val="32"/>
          <w:szCs w:val="32"/>
          <w14:textFill>
            <w14:solidFill>
              <w14:schemeClr w14:val="tx1"/>
            </w14:solidFill>
          </w14:textFill>
        </w:rPr>
        <w:t>。实物配租面积与核准的保障面积存在差额的，差额部分不再给予租赁补贴。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s="黑体"/>
          <w:b w:val="0"/>
          <w:bCs w:val="0"/>
          <w:color w:val="000000" w:themeColor="text1"/>
          <w:kern w:val="0"/>
          <w:sz w:val="32"/>
          <w:szCs w:val="32"/>
          <w14:textFill>
            <w14:solidFill>
              <w14:schemeClr w14:val="tx1"/>
            </w14:solidFill>
          </w14:textFill>
        </w:rPr>
      </w:pPr>
      <w:r>
        <w:rPr>
          <w:rFonts w:ascii="黑体" w:hAnsi="黑体" w:eastAsia="黑体" w:cs="黑体"/>
          <w:b w:val="0"/>
          <w:bCs w:val="0"/>
          <w:color w:val="000000" w:themeColor="text1"/>
          <w:kern w:val="0"/>
          <w:sz w:val="32"/>
          <w:szCs w:val="32"/>
          <w14:textFill>
            <w14:solidFill>
              <w14:schemeClr w14:val="tx1"/>
            </w14:solidFill>
          </w14:textFill>
        </w:rPr>
        <w:t>六、租赁补贴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（一）租赁补贴保障的家庭，由其自行或通过房地产经纪机构向市场承租住房，由</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与承租人签订《公共租赁住房租赁补贴协议》，并按</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季度</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向其发放租赁补贴。补贴协议应当明确协议编号、双方信息、补贴受益人、补贴标准及补贴金额核定、补贴发放及时间、资格年度复核（或动态核查）、违约责任及争议解决方式等相关事项。</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（二）中等偏下及以下收入住房困难家庭的租赁补贴标准，按照下列对象分类确定：</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1</w:t>
      </w:r>
      <w:r>
        <w:rPr>
          <w:rFonts w:hint="eastAsia" w:ascii="Times New Roman" w:hAnsi="Times New Roman" w:eastAsia="仿宋_GB2312" w:cs="Times New Roman"/>
          <w:b w:val="0"/>
          <w:bCs w:val="0"/>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低保</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家庭</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、分散供养特困家庭</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租赁补贴标准</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按照</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1</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5元/m</w:t>
      </w:r>
      <w:r>
        <w:rPr>
          <w:rFonts w:ascii="Times New Roman" w:hAnsi="Times New Roman" w:eastAsia="仿宋_GB2312" w:cs="Times New Roman"/>
          <w:color w:val="000000" w:themeColor="text1"/>
          <w:kern w:val="0"/>
          <w:sz w:val="32"/>
          <w:szCs w:val="32"/>
          <w:vertAlign w:val="superscript"/>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·月</w:t>
      </w:r>
      <w:r>
        <w:rPr>
          <w:rFonts w:ascii="Times New Roman" w:hAnsi="Times New Roman" w:eastAsia="仿宋_GB2312" w:cs="Times New Roman"/>
          <w:color w:val="000000" w:themeColor="text1"/>
          <w:kern w:val="0"/>
          <w:sz w:val="32"/>
          <w:szCs w:val="32"/>
          <w14:textFill>
            <w14:solidFill>
              <w14:schemeClr w14:val="tx1"/>
            </w14:solidFill>
          </w14:textFill>
        </w:rPr>
        <w:t>确定；其他保障家庭按照</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12元/m</w:t>
      </w:r>
      <w:r>
        <w:rPr>
          <w:rFonts w:ascii="Times New Roman" w:hAnsi="Times New Roman" w:eastAsia="仿宋_GB2312" w:cs="Times New Roman"/>
          <w:color w:val="000000" w:themeColor="text1"/>
          <w:kern w:val="0"/>
          <w:sz w:val="32"/>
          <w:szCs w:val="32"/>
          <w:vertAlign w:val="superscript"/>
          <w:lang w:val="en-US" w:eastAsia="zh-CN"/>
          <w14:textFill>
            <w14:solidFill>
              <w14:schemeClr w14:val="tx1"/>
            </w14:solidFill>
          </w14:textFill>
        </w:rPr>
        <w:t>2</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·月</w:t>
      </w:r>
      <w:r>
        <w:rPr>
          <w:rFonts w:ascii="Times New Roman" w:hAnsi="Times New Roman" w:eastAsia="仿宋_GB2312" w:cs="Times New Roman"/>
          <w:color w:val="000000" w:themeColor="text1"/>
          <w:kern w:val="0"/>
          <w:sz w:val="32"/>
          <w:szCs w:val="32"/>
          <w14:textFill>
            <w14:solidFill>
              <w14:schemeClr w14:val="tx1"/>
            </w14:solidFill>
          </w14:textFill>
        </w:rPr>
        <w:t>确定。</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按家庭</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申请租赁补贴</w:t>
      </w:r>
      <w:r>
        <w:rPr>
          <w:rFonts w:ascii="Times New Roman" w:hAnsi="Times New Roman" w:eastAsia="仿宋_GB2312" w:cs="Times New Roman"/>
          <w:color w:val="000000" w:themeColor="text1"/>
          <w:kern w:val="0"/>
          <w:sz w:val="32"/>
          <w:szCs w:val="32"/>
          <w14:textFill>
            <w14:solidFill>
              <w14:schemeClr w14:val="tx1"/>
            </w14:solidFill>
          </w14:textFill>
        </w:rPr>
        <w:t>保障面积</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标准为</w:t>
      </w:r>
      <w:r>
        <w:rPr>
          <w:rFonts w:ascii="Times New Roman" w:hAnsi="Times New Roman" w:eastAsia="仿宋_GB2312" w:cs="Times New Roman"/>
          <w:color w:val="000000" w:themeColor="text1"/>
          <w:kern w:val="0"/>
          <w:sz w:val="32"/>
          <w:szCs w:val="32"/>
          <w14:textFill>
            <w14:solidFill>
              <w14:schemeClr w14:val="tx1"/>
            </w14:solidFill>
          </w14:textFill>
        </w:rPr>
        <w:t>45平方米。</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符合公租房保障条件的三孩家庭选择租赁补贴保障的</w:t>
      </w:r>
      <w:r>
        <w:rPr>
          <w:rFonts w:hint="eastAsia" w:asci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未达到低收入家庭标准的比照低收入家庭标准发放租赁补贴。</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公租房租赁补贴金额按照</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租赁补贴</w:t>
      </w:r>
      <w:r>
        <w:rPr>
          <w:rFonts w:ascii="Times New Roman" w:hAnsi="Times New Roman" w:eastAsia="仿宋_GB2312" w:cs="Times New Roman"/>
          <w:color w:val="000000" w:themeColor="text1"/>
          <w:kern w:val="0"/>
          <w:sz w:val="32"/>
          <w:szCs w:val="32"/>
          <w14:textFill>
            <w14:solidFill>
              <w14:schemeClr w14:val="tx1"/>
            </w14:solidFill>
          </w14:textFill>
        </w:rPr>
        <w:t>保障面积乘以租赁补贴标准确定。</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s="黑体"/>
          <w:b w:val="0"/>
          <w:bCs w:val="0"/>
          <w:color w:val="000000" w:themeColor="text1"/>
          <w:kern w:val="0"/>
          <w:sz w:val="32"/>
          <w:szCs w:val="32"/>
          <w14:textFill>
            <w14:solidFill>
              <w14:schemeClr w14:val="tx1"/>
            </w14:solidFill>
          </w14:textFill>
        </w:rPr>
      </w:pPr>
      <w:r>
        <w:rPr>
          <w:rFonts w:ascii="黑体" w:hAnsi="黑体" w:eastAsia="黑体" w:cs="黑体"/>
          <w:b w:val="0"/>
          <w:bCs w:val="0"/>
          <w:color w:val="000000" w:themeColor="text1"/>
          <w:kern w:val="0"/>
          <w:sz w:val="32"/>
          <w:szCs w:val="32"/>
          <w14:textFill>
            <w14:solidFill>
              <w14:schemeClr w14:val="tx1"/>
            </w14:solidFill>
          </w14:textFill>
        </w:rPr>
        <w:t>七、监督管理</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市住建局通过</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省</w:t>
      </w:r>
      <w:r>
        <w:rPr>
          <w:rFonts w:ascii="Times New Roman" w:hAnsi="Times New Roman" w:eastAsia="仿宋_GB2312" w:cs="Times New Roman"/>
          <w:b w:val="0"/>
          <w:bCs w:val="0"/>
          <w:color w:val="000000" w:themeColor="text1"/>
          <w:kern w:val="0"/>
          <w:sz w:val="32"/>
          <w:szCs w:val="32"/>
          <w:lang w:val="en-US" w:eastAsia="zh-CN"/>
          <w14:textFill>
            <w14:solidFill>
              <w14:schemeClr w14:val="tx1"/>
            </w14:solidFill>
          </w14:textFill>
        </w:rPr>
        <w:t>管理系统进行年度复核（或动态核查）公租房保障对象家庭人口、收入、住房、财产等家庭经济状况变化情况，并根据年度复核（或动态核查）结果作出继续、变更、停止保障的决定，并以书面或电话、短信、乐清市人民政府网站信息公开等形式告知保障家庭。</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保障家庭</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发生</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家庭人口、收入、财产、住房等</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情况变化的，</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应主动向户籍所在地乡镇（街道）如实申报</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变化</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情况，户籍所在地乡镇（街道）应当对申报情况进行审查，并将申报情况及审查结果报送</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lang w:eastAsia="zh-CN"/>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（二）承租人在租赁期内死亡，</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共同申请人应</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申请变更承租人，其共同申请人仍符合条件的，重新签订租赁合同或租赁补贴协议，实物配租、租赁补贴期</w:t>
      </w:r>
      <w:r>
        <w:rPr>
          <w:rFonts w:ascii="Times New Roman" w:hAnsi="Times New Roman" w:eastAsia="仿宋_GB2312" w:cs="Times New Roman"/>
          <w:color w:val="000000" w:themeColor="text1"/>
          <w:kern w:val="0"/>
          <w:sz w:val="32"/>
          <w:szCs w:val="32"/>
          <w14:textFill>
            <w14:solidFill>
              <w14:schemeClr w14:val="tx1"/>
            </w14:solidFill>
          </w14:textFill>
        </w:rPr>
        <w:t>限按原合同、协议剩余时间计算</w:t>
      </w:r>
      <w:r>
        <w:rPr>
          <w:rFonts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其共同申请人</w:t>
      </w:r>
      <w:r>
        <w:rPr>
          <w:rFonts w:ascii="Times New Roman" w:hAnsi="Times New Roman" w:eastAsia="仿宋_GB2312" w:cs="Times New Roman"/>
          <w:color w:val="000000" w:themeColor="text1"/>
          <w:kern w:val="0"/>
          <w:sz w:val="32"/>
          <w:szCs w:val="32"/>
          <w:lang w:eastAsia="zh-CN"/>
          <w14:textFill>
            <w14:solidFill>
              <w14:schemeClr w14:val="tx1"/>
            </w14:solidFill>
          </w14:textFill>
        </w:rPr>
        <w:t>不</w:t>
      </w:r>
      <w:r>
        <w:rPr>
          <w:rFonts w:ascii="Times New Roman" w:hAnsi="Times New Roman" w:eastAsia="仿宋_GB2312" w:cs="Times New Roman"/>
          <w:color w:val="000000" w:themeColor="text1"/>
          <w:kern w:val="0"/>
          <w:sz w:val="32"/>
          <w:szCs w:val="32"/>
          <w14:textFill>
            <w14:solidFill>
              <w14:schemeClr w14:val="tx1"/>
            </w14:solidFill>
          </w14:textFill>
        </w:rPr>
        <w:t>符合条件的</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，原签订的合同、协议终止执行。</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（三）经年度复核（或动态核查）不再符合租赁补贴条件的，停止发放</w:t>
      </w:r>
      <w:r>
        <w:rPr>
          <w:rFonts w:ascii="Times New Roman" w:hAnsi="Times New Roman" w:eastAsia="仿宋_GB2312" w:cs="Times New Roman"/>
          <w:b w:val="0"/>
          <w:bCs w:val="0"/>
          <w:color w:val="000000" w:themeColor="text1"/>
          <w:kern w:val="0"/>
          <w:sz w:val="32"/>
          <w:szCs w:val="32"/>
          <w:lang w:eastAsia="zh-CN"/>
          <w14:textFill>
            <w14:solidFill>
              <w14:schemeClr w14:val="tx1"/>
            </w14:solidFill>
          </w14:textFill>
        </w:rPr>
        <w:t>当年</w:t>
      </w:r>
      <w:r>
        <w:rPr>
          <w:rFonts w:ascii="Times New Roman" w:hAnsi="Times New Roman" w:eastAsia="仿宋_GB2312" w:cs="Times New Roman"/>
          <w:b w:val="0"/>
          <w:bCs w:val="0"/>
          <w:color w:val="000000" w:themeColor="text1"/>
          <w:kern w:val="0"/>
          <w:sz w:val="32"/>
          <w:szCs w:val="32"/>
          <w14:textFill>
            <w14:solidFill>
              <w14:schemeClr w14:val="tx1"/>
            </w14:solidFill>
          </w14:textFill>
        </w:rPr>
        <w:t>租赁补贴，退还违规领取的租赁补贴。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（四）公租房实物配租保障家庭，经年度复核（或动态核查）不再符合保障条件的，应当自收到腾退通知之日起3个月</w:t>
      </w:r>
      <w:r>
        <w:rPr>
          <w:rFonts w:ascii="Times New Roman" w:hAnsi="Times New Roman" w:eastAsia="仿宋_GB2312" w:cs="Times New Roman"/>
          <w:color w:val="000000" w:themeColor="text1"/>
          <w:kern w:val="0"/>
          <w:sz w:val="32"/>
          <w:szCs w:val="32"/>
          <w14:textFill>
            <w14:solidFill>
              <w14:schemeClr w14:val="tx1"/>
            </w14:solidFill>
          </w14:textFill>
        </w:rPr>
        <w:t>内腾退房源和办理相关手续，腾退期内租金按原标准缴纳。</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腾退期满拒不腾退公租房的，承租人在超期居住期间及超期居住退房后5年内不得再次申请公租房保障，其行为记入公租房保障管理档案。</w:t>
      </w:r>
    </w:p>
    <w:p>
      <w:pPr>
        <w:pStyle w:val="6"/>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lang w:val="en-US" w:eastAsia="zh-CN" w:bidi="ar-SA"/>
          <w14:textFill>
            <w14:solidFill>
              <w14:schemeClr w14:val="tx1"/>
            </w14:solidFill>
          </w14:textFill>
        </w:rPr>
        <w:t>（五）公租房承租人有下列行为之一、且拒不整改的，应当按照租赁合同约定支</w:t>
      </w:r>
      <w:r>
        <w:rPr>
          <w:rFonts w:ascii="Times New Roman" w:hAnsi="Times New Roman" w:eastAsia="仿宋_GB2312" w:cs="Times New Roman"/>
          <w:color w:val="000000" w:themeColor="text1"/>
          <w:sz w:val="32"/>
          <w:szCs w:val="32"/>
          <w14:textFill>
            <w14:solidFill>
              <w14:schemeClr w14:val="tx1"/>
            </w14:solidFill>
          </w14:textFill>
        </w:rPr>
        <w:t>付违约金，</w:t>
      </w:r>
      <w:r>
        <w:rPr>
          <w:rFonts w:ascii="Times New Roman" w:hAnsi="Times New Roman" w:eastAsia="仿宋_GB2312" w:cs="Times New Roman"/>
          <w:color w:val="000000" w:themeColor="text1"/>
          <w:sz w:val="32"/>
          <w:szCs w:val="32"/>
          <w:lang w:eastAsia="zh-CN"/>
          <w14:textFill>
            <w14:solidFill>
              <w14:schemeClr w14:val="tx1"/>
            </w14:solidFill>
          </w14:textFill>
        </w:rPr>
        <w:t>公租房所有权人</w:t>
      </w:r>
      <w:r>
        <w:rPr>
          <w:rFonts w:ascii="Times New Roman" w:hAnsi="Times New Roman" w:eastAsia="仿宋_GB2312" w:cs="Times New Roman"/>
          <w:color w:val="000000" w:themeColor="text1"/>
          <w:kern w:val="0"/>
          <w:sz w:val="32"/>
          <w:szCs w:val="32"/>
          <w14:textFill>
            <w14:solidFill>
              <w14:schemeClr w14:val="tx1"/>
            </w14:solidFill>
          </w14:textFill>
        </w:rPr>
        <w:t>应当根据合同约定或者法定情形解除租赁合同，收回出租住房：</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1</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转借、转租或者擅自调换所承租公租房的；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2</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改变所承租公租房用途的；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3</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破坏或者擅自装修所承租公租房，拒不恢复原状的；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4</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在公租房内从事违法活动的；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5</w:t>
      </w:r>
      <w:r>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无正当理由连续6个月以上闲置公租房的；</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承租人在规定期限内拒不退回公租房的，公租房所有权人、</w:t>
      </w:r>
      <w:r>
        <w:rPr>
          <w:rFonts w:hint="eastAsia" w:ascii="Times New Roman" w:eastAsia="仿宋_GB2312" w:cs="Times New Roman"/>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color w:val="000000" w:themeColor="text1"/>
          <w:kern w:val="0"/>
          <w:sz w:val="32"/>
          <w:szCs w:val="32"/>
          <w14:textFill>
            <w14:solidFill>
              <w14:schemeClr w14:val="tx1"/>
            </w14:solidFill>
          </w14:textFill>
        </w:rPr>
        <w:t>或者其委托的运营单位可依法向人民法院提起诉讼，必要时向人民法院申请强制执行，期间租金按市场租</w:t>
      </w:r>
      <w:r>
        <w:rPr>
          <w:rFonts w:ascii="Times New Roman" w:hAnsi="Times New Roman" w:eastAsia="仿宋_GB2312" w:cs="Times New Roman"/>
          <w:b w:val="0"/>
          <w:bCs w:val="0"/>
          <w:color w:val="000000" w:themeColor="text1"/>
          <w:kern w:val="0"/>
          <w:sz w:val="32"/>
          <w:szCs w:val="32"/>
          <w14:textFill>
            <w14:solidFill>
              <w14:schemeClr w14:val="tx1"/>
            </w14:solidFill>
          </w14:textFill>
        </w:rPr>
        <w:t>金价格收缴。</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（六）公租房所有权人或者其委托的运营单位应当负责房屋的维修养护，确保房屋的正常使用。</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（七）房地产经纪机构及其经纪人员不得提供公租房出租、转租、出售等经纪业务。</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（八）</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会同有关部门，加强对公租房保障工作的监督检查，完善相关监督管理制度。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（九）</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将公租房</w:t>
      </w:r>
      <w:r>
        <w:rPr>
          <w:rFonts w:ascii="Times New Roman" w:hAnsi="Times New Roman" w:eastAsia="仿宋_GB2312" w:cs="Times New Roman"/>
          <w:color w:val="000000" w:themeColor="text1"/>
          <w:kern w:val="0"/>
          <w:sz w:val="32"/>
          <w:szCs w:val="32"/>
          <w14:textFill>
            <w14:solidFill>
              <w14:schemeClr w14:val="tx1"/>
            </w14:solidFill>
          </w14:textFill>
        </w:rPr>
        <w:t>保障的准入、配租、补贴对象予以公布，接受社会监督。</w:t>
      </w:r>
      <w:r>
        <w:rPr>
          <w:rFonts w:hint="eastAsia" w:ascii="Times New Roman" w:eastAsia="仿宋_GB2312" w:cs="Times New Roman"/>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color w:val="000000" w:themeColor="text1"/>
          <w:kern w:val="0"/>
          <w:sz w:val="32"/>
          <w:szCs w:val="32"/>
          <w14:textFill>
            <w14:solidFill>
              <w14:schemeClr w14:val="tx1"/>
            </w14:solidFill>
          </w14:textFill>
        </w:rPr>
        <w:t>接到举报、投诉，</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要</w:t>
      </w:r>
      <w:r>
        <w:rPr>
          <w:rFonts w:ascii="Times New Roman" w:hAnsi="Times New Roman" w:eastAsia="仿宋_GB2312" w:cs="Times New Roman"/>
          <w:color w:val="000000" w:themeColor="text1"/>
          <w:kern w:val="0"/>
          <w:sz w:val="32"/>
          <w:szCs w:val="32"/>
          <w14:textFill>
            <w14:solidFill>
              <w14:schemeClr w14:val="tx1"/>
            </w14:solidFill>
          </w14:textFill>
        </w:rPr>
        <w:t>依法及时核实、处理。</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ascii="黑体" w:hAnsi="黑体" w:eastAsia="黑体" w:cs="黑体"/>
          <w:b w:val="0"/>
          <w:bCs w:val="0"/>
          <w:color w:val="000000" w:themeColor="text1"/>
          <w:kern w:val="0"/>
          <w:sz w:val="32"/>
          <w:szCs w:val="32"/>
          <w14:textFill>
            <w14:solidFill>
              <w14:schemeClr w14:val="tx1"/>
            </w14:solidFill>
          </w14:textFill>
        </w:rPr>
      </w:pPr>
      <w:r>
        <w:rPr>
          <w:rFonts w:ascii="黑体" w:hAnsi="黑体" w:eastAsia="黑体" w:cs="黑体"/>
          <w:b w:val="0"/>
          <w:bCs w:val="0"/>
          <w:color w:val="000000" w:themeColor="text1"/>
          <w:kern w:val="0"/>
          <w:sz w:val="32"/>
          <w:szCs w:val="32"/>
          <w14:textFill>
            <w14:solidFill>
              <w14:schemeClr w14:val="tx1"/>
            </w14:solidFill>
          </w14:textFill>
        </w:rPr>
        <w:t>八、 法律责任</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（一）有关部门及其工作人员在公租房保障管理工作中不履行或不正确履行</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相关</w:t>
      </w:r>
      <w:r>
        <w:rPr>
          <w:rFonts w:ascii="Times New Roman" w:hAnsi="Times New Roman" w:eastAsia="仿宋_GB2312" w:cs="Times New Roman"/>
          <w:b w:val="0"/>
          <w:bCs w:val="0"/>
          <w:color w:val="000000" w:themeColor="text1"/>
          <w:kern w:val="0"/>
          <w:sz w:val="32"/>
          <w:szCs w:val="32"/>
          <w14:textFill>
            <w14:solidFill>
              <w14:schemeClr w14:val="tx1"/>
            </w14:solidFill>
          </w14:textFill>
        </w:rPr>
        <w:t>法规及本办法规定职责造成</w:t>
      </w:r>
      <w:r>
        <w:rPr>
          <w:rFonts w:hint="eastAsia" w:ascii="Times New Roman" w:eastAsia="仿宋_GB2312" w:cs="Times New Roman"/>
          <w:b w:val="0"/>
          <w:bCs w:val="0"/>
          <w:color w:val="000000" w:themeColor="text1"/>
          <w:kern w:val="0"/>
          <w:sz w:val="32"/>
          <w:szCs w:val="32"/>
          <w:lang w:val="en-US" w:eastAsia="zh-CN"/>
          <w14:textFill>
            <w14:solidFill>
              <w14:schemeClr w14:val="tx1"/>
            </w14:solidFill>
          </w14:textFill>
        </w:rPr>
        <w:t>一定</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影响的，对直接负责的主管人员和其他直接责任人员依法依纪给予处分；构成犯罪的，依法追究刑事责任。</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b w:val="0"/>
          <w:bCs w:val="0"/>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（二）申请人隐瞒有关情况或者提供虚假材料申请公租房保障的，申请将不予受理，给予警告并记入公租房保障管理档案。</w:t>
      </w:r>
    </w:p>
    <w:p>
      <w:pPr>
        <w:keepNext w:val="0"/>
        <w:keepLines w:val="0"/>
        <w:pageBreakBefore w:val="0"/>
        <w:widowControl w:val="0"/>
        <w:kinsoku/>
        <w:wordWrap/>
        <w:overflowPunct w:val="0"/>
        <w:topLinePunct w:val="0"/>
        <w:autoSpaceDE/>
        <w:autoSpaceDN/>
        <w:bidi w:val="0"/>
        <w:adjustRightInd w:val="0"/>
        <w:snapToGrid w:val="0"/>
        <w:spacing w:line="560" w:lineRule="exact"/>
        <w:ind w:left="0" w:firstLine="640" w:firstLineChars="200"/>
        <w:jc w:val="both"/>
        <w:textAlignment w:val="auto"/>
        <w:rPr>
          <w:rFonts w:ascii="Times New Roman" w:hAnsi="Times New Roman" w:eastAsia="仿宋_GB2312" w:cs="Times New Roman"/>
          <w:color w:val="000000" w:themeColor="text1"/>
          <w:kern w:val="0"/>
          <w:sz w:val="32"/>
          <w:szCs w:val="32"/>
          <w14:textFill>
            <w14:solidFill>
              <w14:schemeClr w14:val="tx1"/>
            </w14:solidFill>
          </w14:textFill>
        </w:rPr>
      </w:pPr>
      <w:r>
        <w:rPr>
          <w:rFonts w:ascii="Times New Roman" w:hAnsi="Times New Roman" w:eastAsia="仿宋_GB2312" w:cs="Times New Roman"/>
          <w:b w:val="0"/>
          <w:bCs w:val="0"/>
          <w:color w:val="000000" w:themeColor="text1"/>
          <w:kern w:val="0"/>
          <w:sz w:val="32"/>
          <w:szCs w:val="32"/>
          <w14:textFill>
            <w14:solidFill>
              <w14:schemeClr w14:val="tx1"/>
            </w14:solidFill>
          </w14:textFill>
        </w:rPr>
        <w:t>以欺骗等手段承租公租房实物配租或者取得租赁补贴的，由</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责令限期退回承租公租房，追回已发放的租赁补贴，依法予以处罚，并记入公租房保障管理档案；逾期不退回的，</w:t>
      </w:r>
      <w:r>
        <w:rPr>
          <w:rFonts w:hint="eastAsia" w:ascii="Times New Roman" w:eastAsia="仿宋_GB2312" w:cs="Times New Roman"/>
          <w:b w:val="0"/>
          <w:bCs w:val="0"/>
          <w:color w:val="000000" w:themeColor="text1"/>
          <w:kern w:val="0"/>
          <w:sz w:val="32"/>
          <w:szCs w:val="32"/>
          <w:lang w:eastAsia="zh-CN"/>
          <w14:textFill>
            <w14:solidFill>
              <w14:schemeClr w14:val="tx1"/>
            </w14:solidFill>
          </w14:textFill>
        </w:rPr>
        <w:t>市住建局</w:t>
      </w:r>
      <w:r>
        <w:rPr>
          <w:rFonts w:ascii="Times New Roman" w:hAnsi="Times New Roman" w:eastAsia="仿宋_GB2312" w:cs="Times New Roman"/>
          <w:b w:val="0"/>
          <w:bCs w:val="0"/>
          <w:color w:val="000000" w:themeColor="text1"/>
          <w:kern w:val="0"/>
          <w:sz w:val="32"/>
          <w:szCs w:val="32"/>
          <w14:textFill>
            <w14:solidFill>
              <w14:schemeClr w14:val="tx1"/>
            </w14:solidFill>
          </w14:textFill>
        </w:rPr>
        <w:t>可依法向人民法院提起诉讼，必要时向人民法院申请强制执行。承</w:t>
      </w:r>
      <w:r>
        <w:rPr>
          <w:rFonts w:ascii="Times New Roman" w:hAnsi="Times New Roman" w:eastAsia="仿宋_GB2312" w:cs="Times New Roman"/>
          <w:color w:val="000000" w:themeColor="text1"/>
          <w:kern w:val="0"/>
          <w:sz w:val="32"/>
          <w:szCs w:val="32"/>
          <w14:textFill>
            <w14:solidFill>
              <w14:schemeClr w14:val="tx1"/>
            </w14:solidFill>
          </w14:textFill>
        </w:rPr>
        <w:t>租人自退回公租房或退还租赁补贴之日起5年内不得再次申请公租房保障。如涉嫌违纪或违法的，报送有关部门严肃查处。</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eastAsia" w:ascii="Times New Roman" w:hAnsi="Times New Roman" w:eastAsia="黑体" w:cs="Times New Roman"/>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九</w:t>
      </w:r>
      <w:r>
        <w:rPr>
          <w:rFonts w:ascii="黑体" w:hAnsi="黑体" w:eastAsia="黑体" w:cs="黑体"/>
          <w:b w:val="0"/>
          <w:bCs w:val="0"/>
          <w:color w:val="000000" w:themeColor="text1"/>
          <w:kern w:val="0"/>
          <w:sz w:val="32"/>
          <w:szCs w:val="32"/>
          <w14:textFill>
            <w14:solidFill>
              <w14:schemeClr w14:val="tx1"/>
            </w14:solidFill>
          </w14:textFill>
        </w:rPr>
        <w:t>、 </w:t>
      </w: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附则</w:t>
      </w:r>
    </w:p>
    <w:p>
      <w:pPr>
        <w:keepNext w:val="0"/>
        <w:keepLines w:val="0"/>
        <w:pageBreakBefore w:val="0"/>
        <w:widowControl w:val="0"/>
        <w:suppressLineNumbers w:val="0"/>
        <w:kinsoku/>
        <w:wordWrap/>
        <w:overflowPunct w:val="0"/>
        <w:topLinePunct w:val="0"/>
        <w:autoSpaceDE/>
        <w:autoSpaceDN/>
        <w:bidi w:val="0"/>
        <w:adjustRightInd w:val="0"/>
        <w:snapToGrid w:val="0"/>
        <w:spacing w:line="560" w:lineRule="exact"/>
        <w:ind w:firstLine="640" w:firstLineChars="200"/>
        <w:jc w:val="both"/>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kern w:val="0"/>
          <w:sz w:val="32"/>
          <w:szCs w:val="32"/>
          <w14:textFill>
            <w14:solidFill>
              <w14:schemeClr w14:val="tx1"/>
            </w14:solidFill>
          </w14:textFill>
        </w:rPr>
        <w:t>本办法自</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2024年</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1</w:t>
      </w:r>
      <w:r>
        <w:rPr>
          <w:rFonts w:ascii="Times New Roman" w:hAnsi="Times New Roman" w:eastAsia="仿宋_GB2312" w:cs="Times New Roman"/>
          <w:color w:val="000000" w:themeColor="text1"/>
          <w:kern w:val="0"/>
          <w:sz w:val="32"/>
          <w:szCs w:val="32"/>
          <w14:textFill>
            <w14:solidFill>
              <w14:schemeClr w14:val="tx1"/>
            </w14:solidFill>
          </w14:textFill>
        </w:rPr>
        <w:t>月</w:t>
      </w:r>
      <w:r>
        <w:rPr>
          <w:rFonts w:hint="eastAsia" w:ascii="Times New Roman" w:hAnsi="Times New Roman" w:eastAsia="仿宋_GB2312" w:cs="Times New Roman"/>
          <w:color w:val="000000" w:themeColor="text1"/>
          <w:kern w:val="0"/>
          <w:sz w:val="32"/>
          <w:szCs w:val="32"/>
          <w:lang w:val="en-US" w:eastAsia="zh-CN"/>
          <w14:textFill>
            <w14:solidFill>
              <w14:schemeClr w14:val="tx1"/>
            </w14:solidFill>
          </w14:textFill>
        </w:rPr>
        <w:t>11</w:t>
      </w:r>
      <w:r>
        <w:rPr>
          <w:rFonts w:ascii="Times New Roman" w:hAnsi="Times New Roman" w:eastAsia="仿宋_GB2312" w:cs="Times New Roman"/>
          <w:color w:val="000000" w:themeColor="text1"/>
          <w:kern w:val="0"/>
          <w:sz w:val="32"/>
          <w:szCs w:val="32"/>
          <w14:textFill>
            <w14:solidFill>
              <w14:schemeClr w14:val="tx1"/>
            </w14:solidFill>
          </w14:textFill>
        </w:rPr>
        <w:t>日起施行，</w:t>
      </w:r>
      <w:r>
        <w:rPr>
          <w:rFonts w:ascii="Times New Roman" w:hAnsi="Times New Roman" w:eastAsia="仿宋_GB2312" w:cs="Times New Roman"/>
          <w:color w:val="000000" w:themeColor="text1"/>
          <w:kern w:val="0"/>
          <w:sz w:val="32"/>
          <w:szCs w:val="32"/>
          <w:lang w:eastAsia="zh-CN"/>
          <w14:textFill>
            <w14:solidFill>
              <w14:schemeClr w14:val="tx1"/>
            </w14:solidFill>
          </w14:textFill>
        </w:rPr>
        <w:t>有效期10</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年</w:t>
      </w:r>
      <w:r>
        <w:rPr>
          <w:rFonts w:ascii="Times New Roman" w:hAnsi="Times New Roman" w:eastAsia="仿宋_GB2312" w:cs="Times New Roman"/>
          <w:color w:val="000000" w:themeColor="text1"/>
          <w:kern w:val="0"/>
          <w:sz w:val="31"/>
          <w:szCs w:val="31"/>
          <w:lang w:val="en-US" w:eastAsia="zh-CN"/>
          <w14:textFill>
            <w14:solidFill>
              <w14:schemeClr w14:val="tx1"/>
            </w14:solidFill>
          </w14:textFill>
        </w:rPr>
        <w:t>。</w:t>
      </w:r>
      <w:r>
        <w:rPr>
          <w:rFonts w:ascii="Times New Roman" w:hAnsi="Times New Roman" w:eastAsia="仿宋_GB2312" w:cs="Times New Roman"/>
          <w:color w:val="000000" w:themeColor="text1"/>
          <w:kern w:val="0"/>
          <w:sz w:val="32"/>
          <w:szCs w:val="32"/>
          <w14:textFill>
            <w14:solidFill>
              <w14:schemeClr w14:val="tx1"/>
            </w14:solidFill>
          </w14:textFill>
        </w:rPr>
        <w:t>原</w:t>
      </w:r>
      <w:r>
        <w:rPr>
          <w:rFonts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乐清市人民政府办公室关于印发〈</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乐清市公共租赁住房保障办法</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〉的通知</w:t>
      </w:r>
      <w:r>
        <w:rPr>
          <w:rFonts w:ascii="Times New Roman" w:hAnsi="Times New Roman" w:eastAsia="仿宋_GB2312" w:cs="Times New Roman"/>
          <w:color w:val="000000" w:themeColor="text1"/>
          <w:kern w:val="0"/>
          <w:sz w:val="32"/>
          <w:szCs w:val="32"/>
          <w:lang w:eastAsia="zh-CN"/>
          <w14:textFill>
            <w14:solidFill>
              <w14:schemeClr w14:val="tx1"/>
            </w14:solidFill>
          </w14:textFill>
        </w:rPr>
        <w:t>》</w:t>
      </w:r>
      <w:r>
        <w:rPr>
          <w:rFonts w:ascii="Times New Roman" w:hAnsi="Times New Roman" w:eastAsia="仿宋_GB2312" w:cs="Times New Roman"/>
          <w:color w:val="000000" w:themeColor="text1"/>
          <w:kern w:val="0"/>
          <w:sz w:val="32"/>
          <w:szCs w:val="32"/>
          <w:lang w:val="en-US" w:eastAsia="zh-CN"/>
          <w14:textFill>
            <w14:solidFill>
              <w14:schemeClr w14:val="tx1"/>
            </w14:solidFill>
          </w14:textFill>
        </w:rPr>
        <w:t>（乐政发〔2015〕31号）</w:t>
      </w:r>
      <w:r>
        <w:rPr>
          <w:rFonts w:ascii="Times New Roman" w:hAnsi="Times New Roman" w:eastAsia="仿宋_GB2312" w:cs="Times New Roman"/>
          <w:color w:val="000000" w:themeColor="text1"/>
          <w:kern w:val="0"/>
          <w:sz w:val="32"/>
          <w:szCs w:val="32"/>
          <w14:textFill>
            <w14:solidFill>
              <w14:schemeClr w14:val="tx1"/>
            </w14:solidFill>
          </w14:textFill>
        </w:rPr>
        <w:t>同时废止。</w:t>
      </w:r>
      <w:r>
        <w:rPr>
          <w:rFonts w:hint="eastAsia" w:ascii="Times New Roman" w:eastAsia="仿宋_GB2312" w:cs="Times New Roman"/>
          <w:color w:val="000000" w:themeColor="text1"/>
          <w:kern w:val="0"/>
          <w:sz w:val="32"/>
          <w:szCs w:val="32"/>
          <w:lang w:val="en-US" w:eastAsia="zh-CN"/>
          <w14:textFill>
            <w14:solidFill>
              <w14:schemeClr w14:val="tx1"/>
            </w14:solidFill>
          </w14:textFill>
        </w:rPr>
        <w:t>本办法施行期间，</w:t>
      </w:r>
      <w:r>
        <w:rPr>
          <w:rFonts w:ascii="Times New Roman" w:hAnsi="Times New Roman" w:eastAsia="仿宋_GB2312" w:cs="Times New Roman"/>
          <w:color w:val="000000" w:themeColor="text1"/>
          <w:kern w:val="0"/>
          <w:sz w:val="32"/>
          <w:szCs w:val="32"/>
          <w14:textFill>
            <w14:solidFill>
              <w14:schemeClr w14:val="tx1"/>
            </w14:solidFill>
          </w14:textFill>
        </w:rPr>
        <w:t>上级颁</w:t>
      </w:r>
      <w:r>
        <w:rPr>
          <w:rFonts w:ascii="Times New Roman" w:hAnsi="Times New Roman" w:eastAsia="仿宋_GB2312" w:cs="Times New Roman"/>
          <w:color w:val="000000" w:themeColor="text1"/>
          <w:kern w:val="0"/>
          <w:sz w:val="32"/>
          <w:szCs w:val="32"/>
          <w:lang w:eastAsia="zh-CN"/>
          <w14:textFill>
            <w14:solidFill>
              <w14:schemeClr w14:val="tx1"/>
            </w14:solidFill>
          </w14:textFill>
        </w:rPr>
        <w:t>布</w:t>
      </w:r>
      <w:r>
        <w:rPr>
          <w:rFonts w:ascii="Times New Roman" w:hAnsi="Times New Roman" w:eastAsia="仿宋_GB2312" w:cs="Times New Roman"/>
          <w:color w:val="000000" w:themeColor="text1"/>
          <w:kern w:val="0"/>
          <w:sz w:val="32"/>
          <w:szCs w:val="32"/>
          <w14:textFill>
            <w14:solidFill>
              <w14:schemeClr w14:val="tx1"/>
            </w14:solidFill>
          </w14:textFill>
        </w:rPr>
        <w:t>的法律、法规、政策与本办法不一致的，以上级颁布的法律、法规、政策规定为准。</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879"/>
        <w:textAlignment w:val="auto"/>
        <w:rPr>
          <w:rFonts w:hint="default" w:ascii="Times New Roman" w:hAnsi="Times New Roman" w:eastAsia="仿宋_GB2312" w:cs="Times New Roman"/>
          <w:spacing w:val="-20"/>
          <w:sz w:val="32"/>
        </w:rPr>
      </w:pPr>
    </w:p>
    <w:p>
      <w:pPr>
        <w:keepNext w:val="0"/>
        <w:keepLines w:val="0"/>
        <w:pageBreakBefore w:val="0"/>
        <w:widowControl w:val="0"/>
        <w:tabs>
          <w:tab w:val="left" w:pos="8580"/>
        </w:tabs>
        <w:kinsoku/>
        <w:wordWrap/>
        <w:overflowPunct w:val="0"/>
        <w:topLinePunct w:val="0"/>
        <w:autoSpaceDE/>
        <w:autoSpaceDN/>
        <w:bidi w:val="0"/>
        <w:adjustRightInd w:val="0"/>
        <w:snapToGrid w:val="0"/>
        <w:spacing w:line="480" w:lineRule="exact"/>
        <w:ind w:left="1074" w:leftChars="100" w:right="210" w:rightChars="100" w:hanging="864" w:hangingChars="27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PVf00wAA&#10;AAQBAAAPAAAAAAAAAAEAIAAAACIAAABkcnMvZG93bnJldi54bWxQSwECFAAUAAAACACHTuJAGHK1&#10;VOoBAAC4AwAADgAAAAAAAAABACAAAAAi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抄送：</w:t>
      </w:r>
      <w:r>
        <w:rPr>
          <w:rFonts w:hint="default" w:ascii="Times New Roman" w:hAnsi="Times New Roman" w:eastAsia="仿宋_GB2312" w:cs="Times New Roman"/>
          <w:spacing w:val="-6"/>
          <w:kern w:val="0"/>
          <w:sz w:val="28"/>
          <w:szCs w:val="28"/>
        </w:rPr>
        <w:t>市委各部门，市人大、政协办公室，市人武部，市法院，市检</w:t>
      </w:r>
      <w:r>
        <w:rPr>
          <w:rFonts w:hint="default" w:ascii="Times New Roman" w:hAnsi="Times New Roman" w:eastAsia="仿宋_GB2312" w:cs="Times New Roman"/>
          <w:kern w:val="0"/>
          <w:sz w:val="28"/>
          <w:szCs w:val="28"/>
        </w:rPr>
        <w:t>察院，各人民团体，各民主党派</w:t>
      </w:r>
      <w:r>
        <w:rPr>
          <w:rFonts w:hint="default" w:ascii="Times New Roman" w:hAnsi="Times New Roman" w:eastAsia="仿宋_GB2312" w:cs="Times New Roman"/>
          <w:kern w:val="0"/>
          <w:sz w:val="28"/>
          <w:szCs w:val="28"/>
          <w:lang w:eastAsia="zh-CN"/>
        </w:rPr>
        <w:t>，市管国企</w:t>
      </w:r>
      <w:r>
        <w:rPr>
          <w:rFonts w:hint="default" w:ascii="Times New Roman" w:hAnsi="Times New Roman" w:eastAsia="仿宋_GB2312" w:cs="Times New Roman"/>
          <w:kern w:val="0"/>
          <w:sz w:val="28"/>
          <w:szCs w:val="28"/>
        </w:rPr>
        <w:t xml:space="preserve">。   </w:t>
      </w:r>
    </w:p>
    <w:p>
      <w:pPr>
        <w:keepNext w:val="0"/>
        <w:keepLines w:val="0"/>
        <w:pageBreakBefore w:val="0"/>
        <w:widowControl w:val="0"/>
        <w:tabs>
          <w:tab w:val="left" w:pos="210"/>
          <w:tab w:val="left" w:pos="420"/>
          <w:tab w:val="left" w:pos="7488"/>
        </w:tabs>
        <w:kinsoku/>
        <w:wordWrap/>
        <w:overflowPunct/>
        <w:topLinePunct w:val="0"/>
        <w:autoSpaceDE/>
        <w:autoSpaceDN/>
        <w:bidi w:val="0"/>
        <w:adjustRightInd w:val="0"/>
        <w:snapToGrid/>
        <w:spacing w:line="480" w:lineRule="exact"/>
        <w:ind w:right="210" w:rightChars="100" w:firstLine="320" w:firstLineChars="100"/>
        <w:jc w:val="both"/>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6.8pt;height:0pt;width:442.2pt;z-index:251660288;mso-width-relative:page;mso-height-relative:page;" filled="f" stroked="t" coordsize="21600,21600" o:gfxdata="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a9Al1AAA&#10;AAYBAAAPAAAAAAAAAAEAIAAAACIAAABkcnMvZG93bnJldi54bWxQSwECFAAUAAAACACHTuJAvmuO&#10;EOkBAAC4AwAADgAAAAAAAAABACAAAAAj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95pt;height:0pt;width:442.2pt;z-index:251661312;mso-width-relative:page;mso-height-relative:page;" filled="f" stroked="t" coordsize="21600,21600" o:gfxdata="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9R5CNIAAAAE&#10;AQAADwAAAAAAAAABACAAAAAiAAAAZHJzL2Rvd25yZXYueG1sUEsBAhQAFAAAAAgAh07iQI0hXhfp&#10;AQAAuAMAAA4AAAAAAAAAAQAgAAAAIQ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乐清市人民政府办公室　　</w:t>
      </w:r>
      <w:r>
        <w:rPr>
          <w:rFonts w:hint="default" w:ascii="Times New Roman" w:hAnsi="Times New Roman" w:eastAsia="仿宋_GB2312" w:cs="Times New Roman"/>
          <w:spacing w:val="2"/>
          <w:kern w:val="0"/>
          <w:sz w:val="28"/>
          <w:szCs w:val="28"/>
        </w:rPr>
        <w:t>　　　　</w:t>
      </w:r>
      <w:r>
        <w:rPr>
          <w:rFonts w:hint="eastAsia" w:ascii="Times New Roman" w:hAnsi="Times New Roman" w:eastAsia="仿宋_GB2312" w:cs="Times New Roman"/>
          <w:spacing w:val="2"/>
          <w:kern w:val="0"/>
          <w:sz w:val="28"/>
          <w:szCs w:val="28"/>
          <w:lang w:val="en-US" w:eastAsia="zh-CN"/>
        </w:rPr>
        <w:t xml:space="preserve">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4"/>
          <w:kern w:val="0"/>
          <w:sz w:val="28"/>
          <w:szCs w:val="28"/>
        </w:rPr>
        <w:t>　　</w:t>
      </w:r>
      <w:r>
        <w:rPr>
          <w:rFonts w:hint="default" w:ascii="Times New Roman" w:hAnsi="Times New Roman" w:eastAsia="仿宋_GB2312" w:cs="Times New Roman"/>
          <w:kern w:val="0"/>
          <w:sz w:val="28"/>
          <w:szCs w:val="28"/>
          <w:lang w:val="en-US" w:eastAsia="zh-CN"/>
        </w:rPr>
        <w:t>2023</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lang w:val="en-US" w:eastAsia="zh-CN"/>
        </w:rPr>
        <w:t>1</w:t>
      </w:r>
      <w:r>
        <w:rPr>
          <w:rFonts w:hint="eastAsia" w:ascii="Times New Roman" w:hAnsi="Times New Roman" w:eastAsia="仿宋_GB2312" w:cs="Times New Roman"/>
          <w:kern w:val="0"/>
          <w:sz w:val="28"/>
          <w:szCs w:val="28"/>
          <w:lang w:val="en-US" w:eastAsia="zh-CN"/>
        </w:rPr>
        <w:t>2</w:t>
      </w:r>
      <w:r>
        <w:rPr>
          <w:rFonts w:hint="default"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lang w:val="en-US" w:eastAsia="zh-CN"/>
        </w:rPr>
        <w:t>11</w:t>
      </w:r>
      <w:r>
        <w:rPr>
          <w:rFonts w:hint="default" w:ascii="Times New Roman" w:hAnsi="Times New Roman" w:eastAsia="仿宋_GB2312" w:cs="Times New Roman"/>
          <w:kern w:val="0"/>
          <w:sz w:val="28"/>
          <w:szCs w:val="28"/>
        </w:rPr>
        <w:t>日印发</w:t>
      </w:r>
    </w:p>
    <w:sectPr>
      <w:footerReference r:id="rId3" w:type="default"/>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mE0ZDQwZGQ3OGI2YjdhMjMyN2Y4YTRmYjIzNGEifQ=="/>
  </w:docVars>
  <w:rsids>
    <w:rsidRoot w:val="FFB76F35"/>
    <w:rsid w:val="00022D62"/>
    <w:rsid w:val="00026EF1"/>
    <w:rsid w:val="000423F8"/>
    <w:rsid w:val="00056D2A"/>
    <w:rsid w:val="00065C2F"/>
    <w:rsid w:val="000670EC"/>
    <w:rsid w:val="00070660"/>
    <w:rsid w:val="00071337"/>
    <w:rsid w:val="00092F73"/>
    <w:rsid w:val="0009713D"/>
    <w:rsid w:val="000A26AF"/>
    <w:rsid w:val="000D4236"/>
    <w:rsid w:val="000E1DAE"/>
    <w:rsid w:val="000E3DBA"/>
    <w:rsid w:val="0010648F"/>
    <w:rsid w:val="001170A3"/>
    <w:rsid w:val="00120B9B"/>
    <w:rsid w:val="0012703A"/>
    <w:rsid w:val="00131056"/>
    <w:rsid w:val="00172966"/>
    <w:rsid w:val="001A5945"/>
    <w:rsid w:val="001A72B8"/>
    <w:rsid w:val="001B0E10"/>
    <w:rsid w:val="001B6AD6"/>
    <w:rsid w:val="001B7F02"/>
    <w:rsid w:val="001E31DA"/>
    <w:rsid w:val="001E5708"/>
    <w:rsid w:val="001F3C70"/>
    <w:rsid w:val="00247E37"/>
    <w:rsid w:val="00250794"/>
    <w:rsid w:val="002664A1"/>
    <w:rsid w:val="00271FB6"/>
    <w:rsid w:val="002A3788"/>
    <w:rsid w:val="002B4DD3"/>
    <w:rsid w:val="002C54CE"/>
    <w:rsid w:val="002D15ED"/>
    <w:rsid w:val="002E1A6B"/>
    <w:rsid w:val="002E445C"/>
    <w:rsid w:val="00300B58"/>
    <w:rsid w:val="003328B9"/>
    <w:rsid w:val="003371FF"/>
    <w:rsid w:val="00345EB9"/>
    <w:rsid w:val="00357A09"/>
    <w:rsid w:val="00360145"/>
    <w:rsid w:val="003617B5"/>
    <w:rsid w:val="00375232"/>
    <w:rsid w:val="00376328"/>
    <w:rsid w:val="00384B88"/>
    <w:rsid w:val="00391A9F"/>
    <w:rsid w:val="003A05C6"/>
    <w:rsid w:val="003B65D2"/>
    <w:rsid w:val="003B6CE3"/>
    <w:rsid w:val="003D639B"/>
    <w:rsid w:val="003D6881"/>
    <w:rsid w:val="0040083C"/>
    <w:rsid w:val="004009B7"/>
    <w:rsid w:val="00406E16"/>
    <w:rsid w:val="00432D04"/>
    <w:rsid w:val="00445227"/>
    <w:rsid w:val="00445262"/>
    <w:rsid w:val="00446D1C"/>
    <w:rsid w:val="00463A1D"/>
    <w:rsid w:val="00472D57"/>
    <w:rsid w:val="004A590A"/>
    <w:rsid w:val="004D0091"/>
    <w:rsid w:val="004E2575"/>
    <w:rsid w:val="004F6E33"/>
    <w:rsid w:val="005136D5"/>
    <w:rsid w:val="00530866"/>
    <w:rsid w:val="0053440A"/>
    <w:rsid w:val="00544186"/>
    <w:rsid w:val="00563F39"/>
    <w:rsid w:val="005824CC"/>
    <w:rsid w:val="00587EA5"/>
    <w:rsid w:val="005B4477"/>
    <w:rsid w:val="005C1A17"/>
    <w:rsid w:val="005F5AF2"/>
    <w:rsid w:val="00612D0C"/>
    <w:rsid w:val="00613EF9"/>
    <w:rsid w:val="00623028"/>
    <w:rsid w:val="00634ECE"/>
    <w:rsid w:val="00642249"/>
    <w:rsid w:val="006456FF"/>
    <w:rsid w:val="00652998"/>
    <w:rsid w:val="0067797E"/>
    <w:rsid w:val="006867EF"/>
    <w:rsid w:val="00690D35"/>
    <w:rsid w:val="0069137D"/>
    <w:rsid w:val="006B2502"/>
    <w:rsid w:val="006E4DBF"/>
    <w:rsid w:val="007017E7"/>
    <w:rsid w:val="00701EBA"/>
    <w:rsid w:val="00706A31"/>
    <w:rsid w:val="00755D3E"/>
    <w:rsid w:val="00767162"/>
    <w:rsid w:val="00776769"/>
    <w:rsid w:val="00787212"/>
    <w:rsid w:val="007912DC"/>
    <w:rsid w:val="007A07F0"/>
    <w:rsid w:val="007E5E4C"/>
    <w:rsid w:val="00807500"/>
    <w:rsid w:val="0081346F"/>
    <w:rsid w:val="008153C8"/>
    <w:rsid w:val="00816345"/>
    <w:rsid w:val="008402DA"/>
    <w:rsid w:val="008534D9"/>
    <w:rsid w:val="00872799"/>
    <w:rsid w:val="00875223"/>
    <w:rsid w:val="00876A88"/>
    <w:rsid w:val="00880478"/>
    <w:rsid w:val="00890A53"/>
    <w:rsid w:val="008A45E3"/>
    <w:rsid w:val="008A4FA9"/>
    <w:rsid w:val="008A675A"/>
    <w:rsid w:val="008B26B6"/>
    <w:rsid w:val="008C25C8"/>
    <w:rsid w:val="008C25FC"/>
    <w:rsid w:val="008F1AE9"/>
    <w:rsid w:val="00901522"/>
    <w:rsid w:val="00912BF7"/>
    <w:rsid w:val="0091797C"/>
    <w:rsid w:val="00921DF7"/>
    <w:rsid w:val="009379DF"/>
    <w:rsid w:val="00943CF8"/>
    <w:rsid w:val="00945670"/>
    <w:rsid w:val="00951DCC"/>
    <w:rsid w:val="009842D7"/>
    <w:rsid w:val="009C153E"/>
    <w:rsid w:val="009D4909"/>
    <w:rsid w:val="00A05182"/>
    <w:rsid w:val="00A05F46"/>
    <w:rsid w:val="00A160A4"/>
    <w:rsid w:val="00A16746"/>
    <w:rsid w:val="00A3308C"/>
    <w:rsid w:val="00A378C3"/>
    <w:rsid w:val="00A43D08"/>
    <w:rsid w:val="00A62971"/>
    <w:rsid w:val="00A675E8"/>
    <w:rsid w:val="00A82265"/>
    <w:rsid w:val="00A92968"/>
    <w:rsid w:val="00A942FC"/>
    <w:rsid w:val="00AA3A8F"/>
    <w:rsid w:val="00AB7983"/>
    <w:rsid w:val="00AC188A"/>
    <w:rsid w:val="00AD2820"/>
    <w:rsid w:val="00AE481A"/>
    <w:rsid w:val="00AF5973"/>
    <w:rsid w:val="00B07B99"/>
    <w:rsid w:val="00B359C0"/>
    <w:rsid w:val="00B42C6F"/>
    <w:rsid w:val="00B66BE6"/>
    <w:rsid w:val="00B7131C"/>
    <w:rsid w:val="00B73118"/>
    <w:rsid w:val="00B77638"/>
    <w:rsid w:val="00B8702A"/>
    <w:rsid w:val="00BB4209"/>
    <w:rsid w:val="00BD09B4"/>
    <w:rsid w:val="00BE38EC"/>
    <w:rsid w:val="00BF0E38"/>
    <w:rsid w:val="00BF1A49"/>
    <w:rsid w:val="00C0072C"/>
    <w:rsid w:val="00C31512"/>
    <w:rsid w:val="00C36478"/>
    <w:rsid w:val="00C62DCE"/>
    <w:rsid w:val="00CB5D37"/>
    <w:rsid w:val="00CB6BE6"/>
    <w:rsid w:val="00CC3945"/>
    <w:rsid w:val="00CF7C94"/>
    <w:rsid w:val="00D03A7D"/>
    <w:rsid w:val="00D121DC"/>
    <w:rsid w:val="00D204AB"/>
    <w:rsid w:val="00D23FAF"/>
    <w:rsid w:val="00D4223A"/>
    <w:rsid w:val="00D5387A"/>
    <w:rsid w:val="00D54DA6"/>
    <w:rsid w:val="00D55A82"/>
    <w:rsid w:val="00DB3EA8"/>
    <w:rsid w:val="00DB6F13"/>
    <w:rsid w:val="00DC11B4"/>
    <w:rsid w:val="00DD68CC"/>
    <w:rsid w:val="00DE3391"/>
    <w:rsid w:val="00DE7D16"/>
    <w:rsid w:val="00DF64B7"/>
    <w:rsid w:val="00DF6F04"/>
    <w:rsid w:val="00E030CB"/>
    <w:rsid w:val="00E47F65"/>
    <w:rsid w:val="00E61AD5"/>
    <w:rsid w:val="00E61C28"/>
    <w:rsid w:val="00E73403"/>
    <w:rsid w:val="00E74A8A"/>
    <w:rsid w:val="00E74FC6"/>
    <w:rsid w:val="00E91271"/>
    <w:rsid w:val="00E97A4B"/>
    <w:rsid w:val="00EC15B6"/>
    <w:rsid w:val="00EE6099"/>
    <w:rsid w:val="00F203F8"/>
    <w:rsid w:val="00F20DED"/>
    <w:rsid w:val="00F22201"/>
    <w:rsid w:val="00F22C1D"/>
    <w:rsid w:val="00F45A1D"/>
    <w:rsid w:val="00F5501A"/>
    <w:rsid w:val="00F71359"/>
    <w:rsid w:val="00F71F35"/>
    <w:rsid w:val="00F776AA"/>
    <w:rsid w:val="00F80BC2"/>
    <w:rsid w:val="00F82129"/>
    <w:rsid w:val="00F94C6F"/>
    <w:rsid w:val="00FB18F5"/>
    <w:rsid w:val="00FB5965"/>
    <w:rsid w:val="00FC653B"/>
    <w:rsid w:val="00FC747A"/>
    <w:rsid w:val="00FE11BE"/>
    <w:rsid w:val="00FE5030"/>
    <w:rsid w:val="00FE59DB"/>
    <w:rsid w:val="021217A4"/>
    <w:rsid w:val="02441F1E"/>
    <w:rsid w:val="02AC5A72"/>
    <w:rsid w:val="02F5162E"/>
    <w:rsid w:val="037205FC"/>
    <w:rsid w:val="03AB225D"/>
    <w:rsid w:val="04B35139"/>
    <w:rsid w:val="06212407"/>
    <w:rsid w:val="084D1F70"/>
    <w:rsid w:val="09184220"/>
    <w:rsid w:val="09842C00"/>
    <w:rsid w:val="09EB4E86"/>
    <w:rsid w:val="0B2473D6"/>
    <w:rsid w:val="0C83024D"/>
    <w:rsid w:val="0D026967"/>
    <w:rsid w:val="0EDFB3AC"/>
    <w:rsid w:val="0EFB2DE2"/>
    <w:rsid w:val="0F27086A"/>
    <w:rsid w:val="0F2D185F"/>
    <w:rsid w:val="0F751A37"/>
    <w:rsid w:val="102E361B"/>
    <w:rsid w:val="104D064D"/>
    <w:rsid w:val="10D7072D"/>
    <w:rsid w:val="126D1CBF"/>
    <w:rsid w:val="12A266D8"/>
    <w:rsid w:val="1363578E"/>
    <w:rsid w:val="13A439AB"/>
    <w:rsid w:val="1491358C"/>
    <w:rsid w:val="17D77317"/>
    <w:rsid w:val="180D6872"/>
    <w:rsid w:val="183E42D5"/>
    <w:rsid w:val="18E9476E"/>
    <w:rsid w:val="19572BD2"/>
    <w:rsid w:val="1ABA6BE8"/>
    <w:rsid w:val="1B481CCF"/>
    <w:rsid w:val="1D0B2C34"/>
    <w:rsid w:val="1D4F4632"/>
    <w:rsid w:val="1E741C74"/>
    <w:rsid w:val="1EC031A5"/>
    <w:rsid w:val="20820C62"/>
    <w:rsid w:val="20BA624A"/>
    <w:rsid w:val="21B76AE0"/>
    <w:rsid w:val="22703D10"/>
    <w:rsid w:val="22A3672D"/>
    <w:rsid w:val="22FB524F"/>
    <w:rsid w:val="23C021ED"/>
    <w:rsid w:val="256A6EF1"/>
    <w:rsid w:val="2664762D"/>
    <w:rsid w:val="26E76673"/>
    <w:rsid w:val="273724D6"/>
    <w:rsid w:val="27581CBA"/>
    <w:rsid w:val="286771ED"/>
    <w:rsid w:val="295312A9"/>
    <w:rsid w:val="2A36189D"/>
    <w:rsid w:val="2A62275A"/>
    <w:rsid w:val="2BB01E31"/>
    <w:rsid w:val="2D1F1201"/>
    <w:rsid w:val="2D2C202A"/>
    <w:rsid w:val="2DFC771C"/>
    <w:rsid w:val="2EFA57EB"/>
    <w:rsid w:val="2FA44489"/>
    <w:rsid w:val="2FF072A9"/>
    <w:rsid w:val="30180C08"/>
    <w:rsid w:val="3052490E"/>
    <w:rsid w:val="311A2E5A"/>
    <w:rsid w:val="31EA7C43"/>
    <w:rsid w:val="32D75DF9"/>
    <w:rsid w:val="32F169A3"/>
    <w:rsid w:val="331812CD"/>
    <w:rsid w:val="3398139C"/>
    <w:rsid w:val="33B70E64"/>
    <w:rsid w:val="3492665E"/>
    <w:rsid w:val="355562D1"/>
    <w:rsid w:val="35B5220F"/>
    <w:rsid w:val="35EB1B84"/>
    <w:rsid w:val="3649132B"/>
    <w:rsid w:val="3A7D0FA4"/>
    <w:rsid w:val="3B4441DB"/>
    <w:rsid w:val="3B790CCA"/>
    <w:rsid w:val="3C985175"/>
    <w:rsid w:val="3CD3338E"/>
    <w:rsid w:val="3D7C27E8"/>
    <w:rsid w:val="3DCF2C73"/>
    <w:rsid w:val="3E67796F"/>
    <w:rsid w:val="415B3DD3"/>
    <w:rsid w:val="4442648B"/>
    <w:rsid w:val="44BB0090"/>
    <w:rsid w:val="45FB325E"/>
    <w:rsid w:val="461C3792"/>
    <w:rsid w:val="469328B4"/>
    <w:rsid w:val="482D3841"/>
    <w:rsid w:val="484B4C52"/>
    <w:rsid w:val="498E69BD"/>
    <w:rsid w:val="49BB4291"/>
    <w:rsid w:val="4B3B78E8"/>
    <w:rsid w:val="4C326228"/>
    <w:rsid w:val="4D0B6926"/>
    <w:rsid w:val="4DAF1E29"/>
    <w:rsid w:val="4E670DAE"/>
    <w:rsid w:val="4EE8658A"/>
    <w:rsid w:val="4F3D7B0D"/>
    <w:rsid w:val="4F5F5AC3"/>
    <w:rsid w:val="4F6A76D8"/>
    <w:rsid w:val="51CC6EC2"/>
    <w:rsid w:val="51DF3179"/>
    <w:rsid w:val="530811BC"/>
    <w:rsid w:val="54886D3A"/>
    <w:rsid w:val="54A83B8F"/>
    <w:rsid w:val="54B86651"/>
    <w:rsid w:val="56296A9E"/>
    <w:rsid w:val="568F2E5D"/>
    <w:rsid w:val="56C81CE2"/>
    <w:rsid w:val="570059C5"/>
    <w:rsid w:val="574977F7"/>
    <w:rsid w:val="582B0078"/>
    <w:rsid w:val="58ED74D9"/>
    <w:rsid w:val="59203F46"/>
    <w:rsid w:val="5B154FF4"/>
    <w:rsid w:val="5BB121DD"/>
    <w:rsid w:val="5CDB7FED"/>
    <w:rsid w:val="5D895481"/>
    <w:rsid w:val="5E4671E5"/>
    <w:rsid w:val="5E822AB0"/>
    <w:rsid w:val="60D62565"/>
    <w:rsid w:val="61130118"/>
    <w:rsid w:val="61343606"/>
    <w:rsid w:val="63265D29"/>
    <w:rsid w:val="6344466B"/>
    <w:rsid w:val="63FF151B"/>
    <w:rsid w:val="64786F97"/>
    <w:rsid w:val="651200DE"/>
    <w:rsid w:val="66E7446A"/>
    <w:rsid w:val="689F06EE"/>
    <w:rsid w:val="68F0206A"/>
    <w:rsid w:val="698414AB"/>
    <w:rsid w:val="69D20A2C"/>
    <w:rsid w:val="6ADF6E0B"/>
    <w:rsid w:val="6AE46A29"/>
    <w:rsid w:val="6B1354B8"/>
    <w:rsid w:val="6C2821F4"/>
    <w:rsid w:val="6DA73B41"/>
    <w:rsid w:val="6DF016A4"/>
    <w:rsid w:val="6E72312D"/>
    <w:rsid w:val="6ED22CDD"/>
    <w:rsid w:val="6FAA6C94"/>
    <w:rsid w:val="6FFF7320"/>
    <w:rsid w:val="70281D5D"/>
    <w:rsid w:val="714B246D"/>
    <w:rsid w:val="714D44EC"/>
    <w:rsid w:val="725B5B2D"/>
    <w:rsid w:val="733C48D9"/>
    <w:rsid w:val="734B5436"/>
    <w:rsid w:val="739D7699"/>
    <w:rsid w:val="741A4194"/>
    <w:rsid w:val="74F612FB"/>
    <w:rsid w:val="763F045E"/>
    <w:rsid w:val="76DD4B6C"/>
    <w:rsid w:val="76E5087B"/>
    <w:rsid w:val="7758241F"/>
    <w:rsid w:val="77C81E5A"/>
    <w:rsid w:val="782E60EB"/>
    <w:rsid w:val="783B74A6"/>
    <w:rsid w:val="78485FF0"/>
    <w:rsid w:val="786279D0"/>
    <w:rsid w:val="78646B19"/>
    <w:rsid w:val="79974FB4"/>
    <w:rsid w:val="799B5890"/>
    <w:rsid w:val="799B7378"/>
    <w:rsid w:val="79BEC013"/>
    <w:rsid w:val="7A22643C"/>
    <w:rsid w:val="7AF230B4"/>
    <w:rsid w:val="7B654794"/>
    <w:rsid w:val="7BF51EDF"/>
    <w:rsid w:val="7CBD29DD"/>
    <w:rsid w:val="7D5FACEE"/>
    <w:rsid w:val="7DFF319E"/>
    <w:rsid w:val="7E4D08CE"/>
    <w:rsid w:val="7F387094"/>
    <w:rsid w:val="7F7231F0"/>
    <w:rsid w:val="9EBD47D8"/>
    <w:rsid w:val="CCF77F6E"/>
    <w:rsid w:val="D9E7B7ED"/>
    <w:rsid w:val="F7BD9AA9"/>
    <w:rsid w:val="FDDCF336"/>
    <w:rsid w:val="FFB7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0"/>
    <w:pPr>
      <w:keepNext/>
      <w:keepLines/>
      <w:jc w:val="center"/>
      <w:outlineLvl w:val="0"/>
    </w:pPr>
    <w:rPr>
      <w:rFonts w:eastAsia="方正小标宋简体" w:cs="Times New Roman"/>
      <w:b w:val="0"/>
      <w:kern w:val="44"/>
      <w:sz w:val="44"/>
    </w:rPr>
  </w:style>
  <w:style w:type="paragraph" w:styleId="5">
    <w:name w:val="heading 2"/>
    <w:basedOn w:val="1"/>
    <w:next w:val="1"/>
    <w:semiHidden/>
    <w:unhideWhenUsed/>
    <w:qFormat/>
    <w:uiPriority w:val="0"/>
    <w:pPr>
      <w:outlineLvl w:val="1"/>
    </w:pPr>
    <w:rPr>
      <w:rFonts w:ascii="Arial" w:hAnsi="Arial" w:eastAsia="黑体"/>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880"/>
    </w:pPr>
    <w:rPr>
      <w:rFonts w:ascii="Times New Roman" w:hAnsi="Times New Roman" w:cs="Times New Roman"/>
    </w:rPr>
  </w:style>
  <w:style w:type="paragraph" w:styleId="3">
    <w:name w:val="Body Text"/>
    <w:basedOn w:val="1"/>
    <w:qFormat/>
    <w:uiPriority w:val="0"/>
  </w:style>
  <w:style w:type="paragraph" w:styleId="6">
    <w:name w:val="annotation text"/>
    <w:basedOn w:val="1"/>
    <w:qFormat/>
    <w:uiPriority w:val="0"/>
    <w:pPr>
      <w:jc w:val="left"/>
    </w:pPr>
  </w:style>
  <w:style w:type="paragraph" w:styleId="7">
    <w:name w:val="Balloon Text"/>
    <w:basedOn w:val="1"/>
    <w:link w:val="19"/>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next w:val="6"/>
    <w:qFormat/>
    <w:uiPriority w:val="99"/>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page number"/>
    <w:basedOn w:val="12"/>
    <w:qFormat/>
    <w:uiPriority w:val="0"/>
  </w:style>
  <w:style w:type="paragraph" w:styleId="15">
    <w:name w:val="List Paragraph"/>
    <w:basedOn w:val="1"/>
    <w:qFormat/>
    <w:uiPriority w:val="34"/>
    <w:pPr>
      <w:ind w:firstLine="420"/>
    </w:pPr>
  </w:style>
  <w:style w:type="character" w:customStyle="1" w:styleId="16">
    <w:name w:val="页眉 Char"/>
    <w:basedOn w:val="12"/>
    <w:link w:val="9"/>
    <w:qFormat/>
    <w:uiPriority w:val="0"/>
    <w:rPr>
      <w:rFonts w:asciiTheme="minorHAnsi" w:hAnsiTheme="minorHAnsi" w:eastAsiaTheme="minorEastAsia" w:cstheme="minorBidi"/>
      <w:kern w:val="2"/>
      <w:sz w:val="18"/>
      <w:szCs w:val="18"/>
    </w:rPr>
  </w:style>
  <w:style w:type="character" w:customStyle="1" w:styleId="17">
    <w:name w:val="页脚 Char"/>
    <w:basedOn w:val="12"/>
    <w:link w:val="8"/>
    <w:qFormat/>
    <w:uiPriority w:val="0"/>
    <w:rPr>
      <w:rFonts w:asciiTheme="minorHAnsi" w:hAnsiTheme="minorHAnsi" w:eastAsiaTheme="minorEastAsia" w:cstheme="minorBidi"/>
      <w:kern w:val="2"/>
      <w:sz w:val="18"/>
      <w:szCs w:val="18"/>
    </w:rPr>
  </w:style>
  <w:style w:type="character" w:customStyle="1" w:styleId="18">
    <w:name w:val="fontstyle01"/>
    <w:basedOn w:val="12"/>
    <w:qFormat/>
    <w:uiPriority w:val="0"/>
    <w:rPr>
      <w:rFonts w:hint="eastAsia" w:ascii="仿宋_GB2312" w:eastAsia="仿宋_GB2312"/>
      <w:color w:val="000000"/>
      <w:sz w:val="32"/>
      <w:szCs w:val="32"/>
    </w:rPr>
  </w:style>
  <w:style w:type="character" w:customStyle="1" w:styleId="19">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20">
    <w:name w:val="NormalCharacter"/>
    <w:qFormat/>
    <w:uiPriority w:val="0"/>
    <w:rPr>
      <w:sz w:val="21"/>
    </w:rPr>
  </w:style>
  <w:style w:type="paragraph" w:customStyle="1" w:styleId="21">
    <w:name w:val="TableOfAuthoring"/>
    <w:next w:val="1"/>
    <w:qFormat/>
    <w:uiPriority w:val="0"/>
    <w:pPr>
      <w:overflowPunct w:val="0"/>
      <w:autoSpaceDE w:val="0"/>
      <w:autoSpaceDN w:val="0"/>
      <w:adjustRightInd w:val="0"/>
      <w:ind w:left="420" w:leftChars="200"/>
      <w:jc w:val="both"/>
      <w:textAlignment w:val="baseline"/>
    </w:pPr>
    <w:rPr>
      <w:rFonts w:ascii="Times New Roman" w:hAnsi="Times New Roman" w:eastAsia="宋体" w:cs="Times New Roman"/>
      <w:sz w:val="21"/>
      <w:szCs w:val="24"/>
      <w:lang w:val="en-US" w:eastAsia="zh-CN" w:bidi="ar-SA"/>
    </w:rPr>
  </w:style>
  <w:style w:type="paragraph" w:customStyle="1" w:styleId="22">
    <w:name w:val="BodyText1I"/>
    <w:basedOn w:val="1"/>
    <w:qFormat/>
    <w:uiPriority w:val="0"/>
    <w:pPr>
      <w:spacing w:after="120"/>
      <w:ind w:firstLine="420" w:firstLineChars="100"/>
      <w:textAlignment w:val="baseline"/>
    </w:pPr>
    <w:rPr>
      <w:rFonts w:ascii="Times New Roman" w:hAnsi="Times New Roman"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1125</Words>
  <Characters>6419</Characters>
  <Lines>53</Lines>
  <Paragraphs>15</Paragraphs>
  <TotalTime>0</TotalTime>
  <ScaleCrop>false</ScaleCrop>
  <LinksUpToDate>false</LinksUpToDate>
  <CharactersWithSpaces>7529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2023-01-06T08:38:00Z</dcterms:created>
  <dc:creator>greatwall</dc:creator>
  <cp:lastModifiedBy>市政府办公室</cp:lastModifiedBy>
  <cp:lastPrinted>2023-12-12T07:00:00Z</cp:lastPrinted>
  <dcterms:modified xsi:type="dcterms:W3CDTF">2023-12-12T08:29:41Z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E5B4D8C2D3BC4E6AAF63AFC161D999E3_12</vt:lpwstr>
  </property>
</Properties>
</file>