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hAnsi="黑体" w:eastAsia="黑体"/>
          <w:sz w:val="32"/>
          <w:szCs w:val="32"/>
          <w:lang w:eastAsia="zh-CN"/>
        </w:rPr>
      </w:pPr>
      <w:r>
        <w:rPr>
          <w:rFonts w:hint="eastAsia" w:ascii="黑体" w:hAnsi="黑体" w:eastAsia="黑体"/>
          <w:sz w:val="32"/>
          <w:szCs w:val="32"/>
          <w:lang w:eastAsia="zh-CN"/>
        </w:rPr>
        <w:t>CYQD63-2024-0001</w:t>
      </w:r>
    </w:p>
    <w:p/>
    <w:p/>
    <w:tbl>
      <w:tblPr>
        <w:tblStyle w:val="8"/>
        <w:tblW w:w="0" w:type="auto"/>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5"/>
        <w:gridCol w:w="1772"/>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6" w:hRule="atLeast"/>
          <w:jc w:val="center"/>
        </w:trPr>
        <w:tc>
          <w:tcPr>
            <w:tcW w:w="7685" w:type="dxa"/>
            <w:tcBorders>
              <w:top w:val="nil"/>
              <w:left w:val="nil"/>
              <w:bottom w:val="nil"/>
              <w:right w:val="nil"/>
            </w:tcBorders>
            <w:vAlign w:val="center"/>
          </w:tcPr>
          <w:p>
            <w:pPr>
              <w:spacing w:line="1100" w:lineRule="exact"/>
              <w:jc w:val="distribute"/>
              <w:rPr>
                <w:rFonts w:ascii="方正小标宋简体" w:hAnsi="华文中宋" w:eastAsia="方正小标宋简体" w:cs="Calibri"/>
                <w:color w:val="FF0000"/>
                <w:spacing w:val="-78"/>
                <w:w w:val="80"/>
                <w:sz w:val="96"/>
                <w:szCs w:val="96"/>
                <w:lang w:eastAsia="zh-CN"/>
              </w:rPr>
            </w:pPr>
            <w:r>
              <w:rPr>
                <w:rFonts w:hint="eastAsia" w:ascii="方正小标宋简体" w:hAnsi="华文中宋" w:eastAsia="方正小标宋简体"/>
                <w:color w:val="FF0000"/>
                <w:spacing w:val="-78"/>
                <w:w w:val="80"/>
                <w:sz w:val="96"/>
                <w:szCs w:val="96"/>
                <w:lang w:eastAsia="zh-CN"/>
              </w:rPr>
              <w:t>乐清市自然资源和规划局</w:t>
            </w:r>
          </w:p>
        </w:tc>
        <w:tc>
          <w:tcPr>
            <w:tcW w:w="1772" w:type="dxa"/>
            <w:vMerge w:val="restart"/>
            <w:tcBorders>
              <w:top w:val="nil"/>
              <w:left w:val="nil"/>
              <w:bottom w:val="nil"/>
              <w:right w:val="nil"/>
            </w:tcBorders>
            <w:vAlign w:val="center"/>
          </w:tcPr>
          <w:p>
            <w:pPr>
              <w:ind w:left="-266" w:leftChars="-121" w:right="-178" w:rightChars="-81"/>
              <w:jc w:val="center"/>
              <w:rPr>
                <w:rFonts w:ascii="方正小标宋简体" w:hAnsi="Calibri" w:eastAsia="方正小标宋简体" w:cs="Calibri"/>
                <w:color w:val="FF0000"/>
                <w:spacing w:val="-20"/>
                <w:w w:val="80"/>
                <w:sz w:val="96"/>
                <w:szCs w:val="96"/>
              </w:rPr>
            </w:pPr>
            <w:r>
              <w:rPr>
                <w:rFonts w:hint="eastAsia" w:ascii="方正小标宋简体" w:hAnsi="华文中宋" w:eastAsia="方正小标宋简体"/>
                <w:color w:val="FF0000"/>
                <w:spacing w:val="-20"/>
                <w:w w:val="80"/>
                <w:sz w:val="96"/>
                <w:szCs w:val="96"/>
              </w:rPr>
              <w:t>文件</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jc w:val="center"/>
        </w:trPr>
        <w:tc>
          <w:tcPr>
            <w:tcW w:w="7685" w:type="dxa"/>
            <w:tcBorders>
              <w:top w:val="nil"/>
              <w:left w:val="nil"/>
              <w:bottom w:val="nil"/>
              <w:right w:val="nil"/>
            </w:tcBorders>
            <w:vAlign w:val="center"/>
          </w:tcPr>
          <w:p>
            <w:pPr>
              <w:spacing w:line="1100" w:lineRule="exact"/>
              <w:ind w:right="-163" w:rightChars="-74"/>
              <w:jc w:val="distribute"/>
              <w:rPr>
                <w:rFonts w:ascii="方正小标宋简体" w:hAnsi="华文中宋" w:eastAsia="方正小标宋简体" w:cs="Calibri"/>
                <w:color w:val="FF0000"/>
                <w:spacing w:val="78"/>
                <w:w w:val="80"/>
                <w:sz w:val="96"/>
                <w:szCs w:val="96"/>
              </w:rPr>
            </w:pPr>
            <w:r>
              <w:rPr>
                <w:rFonts w:hint="eastAsia" w:ascii="方正小标宋简体" w:hAnsi="华文中宋" w:eastAsia="方正小标宋简体"/>
                <w:color w:val="FF0000"/>
                <w:spacing w:val="78"/>
                <w:w w:val="80"/>
                <w:sz w:val="96"/>
                <w:szCs w:val="96"/>
              </w:rPr>
              <w:t>乐清市财政局</w:t>
            </w:r>
          </w:p>
        </w:tc>
        <w:tc>
          <w:tcPr>
            <w:tcW w:w="1772" w:type="dxa"/>
            <w:vMerge w:val="continue"/>
            <w:tcBorders>
              <w:top w:val="nil"/>
              <w:left w:val="nil"/>
              <w:bottom w:val="nil"/>
              <w:right w:val="nil"/>
            </w:tcBorders>
            <w:vAlign w:val="center"/>
          </w:tcPr>
          <w:p>
            <w:pPr>
              <w:rPr>
                <w:rFonts w:ascii="方正小标宋简体" w:hAnsi="Calibri" w:eastAsia="方正小标宋简体" w:cs="Calibri"/>
                <w:color w:val="FF0000"/>
                <w:spacing w:val="-20"/>
                <w:w w:val="80"/>
                <w:sz w:val="96"/>
                <w:szCs w:val="96"/>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9457" w:type="dxa"/>
            <w:gridSpan w:val="2"/>
            <w:tcBorders>
              <w:top w:val="nil"/>
              <w:left w:val="nil"/>
              <w:bottom w:val="single" w:color="FF0000" w:sz="24" w:space="0"/>
              <w:right w:val="nil"/>
            </w:tcBorders>
            <w:vAlign w:val="bottom"/>
          </w:tcPr>
          <w:p>
            <w:pPr>
              <w:jc w:val="center"/>
              <w:rPr>
                <w:rFonts w:ascii="仿宋_GB2312" w:hAnsi="Calibri" w:eastAsia="仿宋_GB2312" w:cs="Calibri"/>
                <w:sz w:val="32"/>
                <w:szCs w:val="32"/>
              </w:rPr>
            </w:pPr>
            <w:r>
              <w:rPr>
                <w:rFonts w:hint="eastAsia" w:ascii="仿宋_GB2312" w:eastAsia="仿宋_GB2312"/>
                <w:bCs/>
                <w:color w:val="000000"/>
                <w:spacing w:val="-4"/>
                <w:sz w:val="32"/>
                <w:szCs w:val="32"/>
              </w:rPr>
              <w:t>乐资规发〔2024〕</w:t>
            </w:r>
            <w:r>
              <w:rPr>
                <w:rFonts w:hint="eastAsia" w:ascii="仿宋_GB2312" w:eastAsia="仿宋_GB2312"/>
                <w:bCs/>
                <w:color w:val="000000"/>
                <w:spacing w:val="-4"/>
                <w:sz w:val="32"/>
                <w:szCs w:val="32"/>
                <w:lang w:eastAsia="zh-CN"/>
              </w:rPr>
              <w:t>9</w:t>
            </w:r>
            <w:r>
              <w:rPr>
                <w:rFonts w:hint="eastAsia" w:ascii="仿宋_GB2312" w:eastAsia="仿宋_GB2312"/>
                <w:bCs/>
                <w:color w:val="000000"/>
                <w:spacing w:val="-4"/>
                <w:sz w:val="32"/>
                <w:szCs w:val="32"/>
              </w:rPr>
              <w:t>号</w:t>
            </w:r>
          </w:p>
        </w:tc>
      </w:tr>
    </w:tbl>
    <w:p>
      <w:pPr>
        <w:spacing w:line="520" w:lineRule="exact"/>
        <w:jc w:val="center"/>
        <w:rPr>
          <w:rFonts w:ascii="方正小标宋简体" w:hAnsi="Calibri" w:eastAsia="方正小标宋简体"/>
          <w:sz w:val="44"/>
          <w:szCs w:val="44"/>
        </w:rPr>
      </w:pPr>
    </w:p>
    <w:p>
      <w:pPr>
        <w:spacing w:line="560" w:lineRule="exact"/>
        <w:jc w:val="center"/>
        <w:rPr>
          <w:rFonts w:ascii="方正小标宋简体" w:hAnsi="Calibri" w:eastAsia="方正小标宋简体" w:cs="Calibri"/>
          <w:sz w:val="44"/>
          <w:szCs w:val="44"/>
        </w:rPr>
      </w:pPr>
    </w:p>
    <w:p>
      <w:pPr>
        <w:spacing w:line="560" w:lineRule="exact"/>
        <w:jc w:val="center"/>
        <w:rPr>
          <w:rFonts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乐清市自然资源和规划局  乐清市财政局</w:t>
      </w:r>
    </w:p>
    <w:p>
      <w:pPr>
        <w:pStyle w:val="3"/>
        <w:tabs>
          <w:tab w:val="left" w:pos="5420"/>
          <w:tab w:val="left" w:pos="7625"/>
        </w:tabs>
        <w:spacing w:line="560" w:lineRule="exact"/>
        <w:ind w:left="350" w:right="-7"/>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关于印发《</w:t>
      </w:r>
      <w:r>
        <w:rPr>
          <w:rFonts w:hint="eastAsia" w:ascii="方正小标宋简体" w:eastAsia="方正小标宋简体"/>
          <w:spacing w:val="-99"/>
          <w:sz w:val="44"/>
          <w:szCs w:val="44"/>
          <w:lang w:eastAsia="zh-CN"/>
        </w:rPr>
        <w:t xml:space="preserve"> </w:t>
      </w:r>
      <w:r>
        <w:rPr>
          <w:rFonts w:hint="eastAsia" w:ascii="方正小标宋简体" w:eastAsia="方正小标宋简体"/>
          <w:sz w:val="44"/>
          <w:szCs w:val="44"/>
          <w:lang w:eastAsia="zh-CN"/>
        </w:rPr>
        <w:t>乐清市海洋生态保护修复资金</w:t>
      </w:r>
    </w:p>
    <w:p>
      <w:pPr>
        <w:pStyle w:val="3"/>
        <w:tabs>
          <w:tab w:val="left" w:pos="5420"/>
          <w:tab w:val="left" w:pos="7625"/>
        </w:tabs>
        <w:spacing w:line="560" w:lineRule="exact"/>
        <w:ind w:left="350" w:right="-7"/>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管理办法》的通知</w:t>
      </w:r>
    </w:p>
    <w:p>
      <w:pPr>
        <w:pStyle w:val="3"/>
        <w:spacing w:line="560" w:lineRule="exact"/>
        <w:ind w:left="966" w:hanging="625"/>
        <w:rPr>
          <w:rFonts w:ascii="仿宋_GB2312" w:eastAsia="仿宋_GB2312"/>
          <w:w w:val="105"/>
          <w:sz w:val="32"/>
          <w:szCs w:val="32"/>
          <w:lang w:eastAsia="zh-CN"/>
        </w:rPr>
      </w:pPr>
    </w:p>
    <w:p>
      <w:pPr>
        <w:pStyle w:val="3"/>
        <w:spacing w:line="560" w:lineRule="exact"/>
        <w:ind w:left="0"/>
        <w:rPr>
          <w:rFonts w:ascii="仿宋_GB2312" w:eastAsia="仿宋_GB2312"/>
          <w:w w:val="105"/>
          <w:sz w:val="32"/>
          <w:szCs w:val="32"/>
          <w:lang w:eastAsia="zh-CN"/>
        </w:rPr>
      </w:pPr>
      <w:r>
        <w:rPr>
          <w:rFonts w:hint="eastAsia" w:ascii="仿宋_GB2312" w:eastAsia="仿宋_GB2312"/>
          <w:w w:val="105"/>
          <w:sz w:val="32"/>
          <w:szCs w:val="32"/>
          <w:lang w:eastAsia="zh-CN"/>
        </w:rPr>
        <w:t>各有关乡镇人民政府</w:t>
      </w:r>
      <w:r>
        <w:rPr>
          <w:rFonts w:hint="eastAsia" w:ascii="仿宋_GB2312" w:eastAsia="仿宋_GB2312"/>
          <w:spacing w:val="-31"/>
          <w:w w:val="105"/>
          <w:sz w:val="32"/>
          <w:szCs w:val="32"/>
          <w:lang w:eastAsia="zh-CN"/>
        </w:rPr>
        <w:t>、</w:t>
      </w:r>
      <w:r>
        <w:rPr>
          <w:rFonts w:hint="eastAsia" w:ascii="仿宋_GB2312" w:eastAsia="仿宋_GB2312"/>
          <w:w w:val="105"/>
          <w:sz w:val="32"/>
          <w:szCs w:val="32"/>
          <w:lang w:eastAsia="zh-CN"/>
        </w:rPr>
        <w:t>街道办事处</w:t>
      </w:r>
      <w:r>
        <w:rPr>
          <w:rFonts w:hint="eastAsia" w:ascii="仿宋_GB2312" w:eastAsia="仿宋_GB2312"/>
          <w:spacing w:val="23"/>
          <w:w w:val="105"/>
          <w:sz w:val="32"/>
          <w:szCs w:val="32"/>
          <w:lang w:eastAsia="zh-CN"/>
        </w:rPr>
        <w:t>、</w:t>
      </w:r>
      <w:r>
        <w:rPr>
          <w:rFonts w:hint="eastAsia" w:ascii="仿宋_GB2312" w:eastAsia="仿宋_GB2312"/>
          <w:w w:val="105"/>
          <w:sz w:val="32"/>
          <w:szCs w:val="32"/>
          <w:lang w:eastAsia="zh-CN"/>
        </w:rPr>
        <w:t>各有关单位：</w:t>
      </w:r>
    </w:p>
    <w:p>
      <w:pPr>
        <w:pStyle w:val="3"/>
        <w:spacing w:line="560" w:lineRule="exact"/>
        <w:ind w:left="0" w:firstLine="627" w:firstLineChars="196"/>
        <w:rPr>
          <w:rFonts w:ascii="仿宋_GB2312" w:eastAsia="仿宋_GB2312"/>
          <w:sz w:val="32"/>
          <w:szCs w:val="32"/>
          <w:lang w:eastAsia="zh-CN"/>
        </w:rPr>
      </w:pPr>
      <w:r>
        <w:rPr>
          <w:rFonts w:hint="eastAsia" w:ascii="仿宋_GB2312" w:eastAsia="仿宋_GB2312"/>
          <w:sz w:val="32"/>
          <w:szCs w:val="32"/>
          <w:lang w:eastAsia="zh-CN"/>
        </w:rPr>
        <w:t>经乐清市自然资源和规划局、乐清市财政局联合研究、制定《乐清市海洋生态保护修复资金管理办法》，现予以印发，请遵照执行。</w:t>
      </w:r>
    </w:p>
    <w:p>
      <w:pPr>
        <w:spacing w:line="560" w:lineRule="exact"/>
        <w:rPr>
          <w:rFonts w:ascii="仿宋_GB2312" w:hAnsi="宋体" w:eastAsia="仿宋_GB2312" w:cs="宋体"/>
          <w:sz w:val="32"/>
          <w:szCs w:val="32"/>
          <w:lang w:eastAsia="zh-CN"/>
        </w:rPr>
      </w:pPr>
    </w:p>
    <w:p>
      <w:pPr>
        <w:spacing w:line="560" w:lineRule="exact"/>
        <w:rPr>
          <w:rFonts w:ascii="仿宋_GB2312" w:hAnsi="宋体" w:eastAsia="仿宋_GB2312" w:cs="宋体"/>
          <w:sz w:val="32"/>
          <w:szCs w:val="32"/>
          <w:lang w:eastAsia="zh-CN"/>
        </w:rPr>
      </w:pPr>
    </w:p>
    <w:p>
      <w:pPr>
        <w:pStyle w:val="3"/>
        <w:tabs>
          <w:tab w:val="left" w:pos="6338"/>
        </w:tabs>
        <w:wordWrap w:val="0"/>
        <w:spacing w:line="560" w:lineRule="exact"/>
        <w:ind w:left="0"/>
        <w:jc w:val="right"/>
        <w:rPr>
          <w:rFonts w:ascii="仿宋_GB2312" w:eastAsia="仿宋_GB2312"/>
          <w:sz w:val="32"/>
          <w:szCs w:val="32"/>
          <w:lang w:eastAsia="zh-CN"/>
        </w:rPr>
      </w:pPr>
      <w:r>
        <w:rPr>
          <w:rFonts w:hint="eastAsia" w:ascii="仿宋_GB2312" w:eastAsia="仿宋_GB2312"/>
          <w:sz w:val="32"/>
          <w:szCs w:val="32"/>
          <w:lang w:eastAsia="zh-CN"/>
        </w:rPr>
        <w:t>乐清市自然资源和规划局                  乐清市财政局</w:t>
      </w:r>
    </w:p>
    <w:p>
      <w:pPr>
        <w:pStyle w:val="3"/>
        <w:tabs>
          <w:tab w:val="left" w:pos="6338"/>
        </w:tabs>
        <w:spacing w:line="560" w:lineRule="exact"/>
        <w:ind w:left="0"/>
        <w:jc w:val="right"/>
        <w:rPr>
          <w:rFonts w:ascii="仿宋_GB2312" w:eastAsia="仿宋_GB2312"/>
          <w:sz w:val="32"/>
          <w:szCs w:val="32"/>
          <w:lang w:eastAsia="zh-CN"/>
        </w:rPr>
      </w:pPr>
      <w:r>
        <w:rPr>
          <w:rFonts w:hint="eastAsia" w:ascii="仿宋_GB2312" w:hAnsi="Times New Roman" w:eastAsia="仿宋_GB2312" w:cs="Times New Roman"/>
          <w:sz w:val="32"/>
          <w:szCs w:val="32"/>
          <w:lang w:eastAsia="zh-CN"/>
        </w:rPr>
        <w:t>2024</w:t>
      </w:r>
      <w:r>
        <w:rPr>
          <w:rFonts w:hint="eastAsia" w:ascii="仿宋_GB2312" w:eastAsia="仿宋_GB2312"/>
          <w:sz w:val="32"/>
          <w:szCs w:val="32"/>
          <w:lang w:eastAsia="zh-CN"/>
        </w:rPr>
        <w:t>年</w:t>
      </w:r>
      <w:r>
        <w:rPr>
          <w:rFonts w:hint="eastAsia" w:ascii="仿宋_GB2312" w:hAnsi="Times New Roman" w:eastAsia="仿宋_GB2312" w:cs="Times New Roman"/>
          <w:sz w:val="32"/>
          <w:szCs w:val="32"/>
          <w:lang w:eastAsia="zh-CN"/>
        </w:rPr>
        <w:t>2</w:t>
      </w:r>
      <w:r>
        <w:rPr>
          <w:rFonts w:hint="eastAsia" w:ascii="仿宋_GB2312" w:eastAsia="仿宋_GB2312"/>
          <w:sz w:val="32"/>
          <w:szCs w:val="32"/>
          <w:lang w:eastAsia="zh-CN"/>
        </w:rPr>
        <w:t>月</w:t>
      </w:r>
      <w:r>
        <w:rPr>
          <w:rFonts w:hint="eastAsia" w:ascii="仿宋_GB2312" w:hAnsi="Times New Roman" w:eastAsia="仿宋_GB2312" w:cs="Times New Roman"/>
          <w:sz w:val="32"/>
          <w:szCs w:val="32"/>
          <w:lang w:eastAsia="zh-CN"/>
        </w:rPr>
        <w:t>26</w:t>
      </w:r>
      <w:r>
        <w:rPr>
          <w:rFonts w:hint="eastAsia" w:ascii="仿宋_GB2312" w:eastAsia="仿宋_GB2312"/>
          <w:sz w:val="32"/>
          <w:szCs w:val="32"/>
          <w:lang w:eastAsia="zh-CN"/>
        </w:rPr>
        <w:t>日</w:t>
      </w:r>
    </w:p>
    <w:p>
      <w:pPr>
        <w:jc w:val="center"/>
        <w:rPr>
          <w:rFonts w:ascii="方正小标宋简体" w:hAnsi="仿宋" w:eastAsia="方正小标宋简体" w:cs="仿宋"/>
          <w:sz w:val="44"/>
          <w:szCs w:val="44"/>
          <w:lang w:eastAsia="zh-CN"/>
        </w:rPr>
      </w:pPr>
      <w:r>
        <w:rPr>
          <w:rFonts w:hint="eastAsia" w:ascii="方正小标宋简体" w:hAnsi="仿宋" w:eastAsia="方正小标宋简体" w:cs="仿宋"/>
          <w:sz w:val="44"/>
          <w:szCs w:val="44"/>
          <w:lang w:eastAsia="zh-CN"/>
        </w:rPr>
        <w:t>乐清市海洋生态保护修复资金管理办法</w:t>
      </w:r>
    </w:p>
    <w:p>
      <w:pPr>
        <w:ind w:firstLine="640" w:firstLineChars="200"/>
        <w:rPr>
          <w:rFonts w:ascii="仿宋" w:hAnsi="仿宋" w:eastAsia="仿宋" w:cs="仿宋"/>
          <w:sz w:val="32"/>
          <w:szCs w:val="32"/>
          <w:lang w:eastAsia="zh-CN"/>
        </w:rPr>
      </w:pPr>
    </w:p>
    <w:p>
      <w:pPr>
        <w:spacing w:line="560" w:lineRule="exact"/>
        <w:ind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第一条 为加强海洋生态保护修复资金管理，提高资金使用的规范性、安全性和有效性，根据财政部《海洋生态保护修复资金管理办法》（财资环〔2020〕76号）和浙江省财政厅 浙江省自然资源厅《关于印发浙江省中央海洋生态保护修复资金管理办法实施细则的通知》（浙财资环〔2021〕2号）精神和有关规定，结合我市实际，制定本办法。</w:t>
      </w:r>
    </w:p>
    <w:p>
      <w:pPr>
        <w:spacing w:line="560" w:lineRule="exact"/>
        <w:ind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第二条 本办法所称海洋生态保护修复资金（以下简称保护修复资金），是指乐清市本级及以上财政财政安排，用于我市支持对生态安全具有重要保障作用、生态受益范围较广的重点区域海洋生态保护修复的资金。</w:t>
      </w:r>
    </w:p>
    <w:p>
      <w:pPr>
        <w:spacing w:line="560" w:lineRule="exact"/>
        <w:ind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第三条 保护修复资金管理和使用原则</w:t>
      </w:r>
    </w:p>
    <w:p>
      <w:pPr>
        <w:numPr>
          <w:ilvl w:val="0"/>
          <w:numId w:val="1"/>
        </w:numPr>
        <w:spacing w:line="56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坚持保护优先、支持重点区域。</w:t>
      </w:r>
    </w:p>
    <w:p>
      <w:pPr>
        <w:numPr>
          <w:ilvl w:val="0"/>
          <w:numId w:val="1"/>
        </w:numPr>
        <w:spacing w:line="56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坚持公开、公平、公正，主动接受社会监督。</w:t>
      </w:r>
    </w:p>
    <w:p>
      <w:pPr>
        <w:numPr>
          <w:ilvl w:val="0"/>
          <w:numId w:val="1"/>
        </w:numPr>
        <w:spacing w:line="56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实施全过程预算绩效管理，强化资金监管，充分发挥资金效益。</w:t>
      </w:r>
    </w:p>
    <w:p>
      <w:pPr>
        <w:numPr>
          <w:ilvl w:val="0"/>
          <w:numId w:val="1"/>
        </w:numPr>
        <w:spacing w:line="56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坚持统筹兼顾、全方位、全过程开展海洋生态保护和修复治理。</w:t>
      </w:r>
    </w:p>
    <w:p>
      <w:pPr>
        <w:spacing w:line="560" w:lineRule="exact"/>
        <w:ind w:firstLine="800" w:firstLineChars="25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第四条  保护修复资金由市财政局会同市自然资源和规划</w:t>
      </w:r>
      <w:bookmarkStart w:id="0" w:name="_GoBack"/>
      <w:bookmarkEnd w:id="0"/>
      <w:r>
        <w:rPr>
          <w:rFonts w:hint="eastAsia" w:ascii="仿宋_GB2312" w:hAnsi="仿宋" w:eastAsia="仿宋_GB2312" w:cs="仿宋"/>
          <w:sz w:val="32"/>
          <w:szCs w:val="32"/>
          <w:lang w:eastAsia="zh-CN"/>
        </w:rPr>
        <w:t>局管理。</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市财政局负责审核保护修复资金分配建议方案，按规定拨付保护修复资金，组织实施全过程预算绩效管理，加强资金监管。</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市自然资源和规划局负责组织保护修复资金支持的相关规划或实施方案的编制和审核，项目审查筛选储备，项目组织实施，研究提出任务清单分解方案和资金分配建议方案，开展日常监督、综合成效评估，开展全过程预算绩效管理具体工作，加强项目管理并实施监管等工作，指导项目单位做好项目管理。</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第五条 保护修复资金支出范围包括：</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（一）生态保护。对海岸带、海域海岛等生态系统较为脆弱或生态系统质量优良的自然资源实施保护。</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（二）修复治理。对海岸线、海岸带、海域、海岛等进行修复治理，提升海岛海域岸线的生态功能。</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（三）能力建设。海域、海岛监视监管和海洋生态监测监管能力建设，开展海洋防灾减灾，海洋观测调查等。</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（四）生态补偿。全市开展的海洋生态保护补偿。</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（五）根据上级相关工作要求需要统筹安排的其他支出。</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第六条  对已获得上级补助、有明确责任主体或列入整改的海洋生态保护修复项目，不纳入保护修复资金支持范围。</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第七条  市自然资源和规划局、市财政局依据保护修复资金重点支持方向和任务清单，对照上级项目文件要求，明确绩效目标、实施任务、保障机制以及分年度资金预算等，并按照项目申报要求提出申请，提前谋划下一年度的海洋生态保护修复项目。</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第八条  海洋生态修复项目实施过程中因实施环境和条件发生重大变化，确有必要调整实施方案的，应当坚持绩效目标不降低、中央资金不增加的原则，提请省自然资源厅组织论证，并报省自然资源厅审核同意。</w:t>
      </w:r>
    </w:p>
    <w:p>
      <w:pPr>
        <w:pStyle w:val="7"/>
        <w:widowControl/>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第九条  保护修复资金使用管理应当按照预算公开有关要求执行。</w:t>
      </w:r>
    </w:p>
    <w:p>
      <w:pPr>
        <w:pStyle w:val="7"/>
        <w:widowControl/>
        <w:spacing w:before="0" w:beforeAutospacing="0" w:after="0" w:afterAutospacing="0" w:line="560" w:lineRule="exact"/>
        <w:ind w:firstLine="643" w:firstLineChars="201"/>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第十条  根据资金使用计划，结合工程施工进度，规范资金使用。</w:t>
      </w:r>
    </w:p>
    <w:p>
      <w:pPr>
        <w:pStyle w:val="7"/>
        <w:widowControl/>
        <w:numPr>
          <w:ilvl w:val="0"/>
          <w:numId w:val="2"/>
        </w:numPr>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 xml:space="preserve"> 保护修复资金的使用管理接受财政、审计等部门的监督检查，如发现截留、挤占、挪用或骗取专项资金等违法违纪行为，依照有关法律法规追究相应责任。构成犯罪的，依法追究刑事责任。</w:t>
      </w:r>
    </w:p>
    <w:p>
      <w:pPr>
        <w:pStyle w:val="7"/>
        <w:widowControl/>
        <w:numPr>
          <w:ilvl w:val="0"/>
          <w:numId w:val="2"/>
        </w:numPr>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 xml:space="preserve"> 本办法未明确的其他事宜，包括预算下达、资金拨付、使用、结转结余资金处理等，按照预算管理有关规定执行。</w:t>
      </w:r>
    </w:p>
    <w:p>
      <w:pPr>
        <w:pStyle w:val="7"/>
        <w:widowControl/>
        <w:numPr>
          <w:ilvl w:val="0"/>
          <w:numId w:val="2"/>
        </w:numPr>
        <w:spacing w:before="0" w:beforeAutospacing="0" w:after="0" w:afterAutospacing="0" w:line="560" w:lineRule="exact"/>
        <w:ind w:firstLine="645"/>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 xml:space="preserve"> 本办法自</w:t>
      </w:r>
      <w:r>
        <w:rPr>
          <w:rFonts w:hint="eastAsia" w:ascii="仿宋_GB2312" w:hAnsi="Times New Roman" w:eastAsia="仿宋_GB2312"/>
          <w:sz w:val="32"/>
          <w:szCs w:val="32"/>
        </w:rPr>
        <w:t>2024</w:t>
      </w:r>
      <w:r>
        <w:rPr>
          <w:rFonts w:hint="eastAsia" w:ascii="仿宋_GB2312" w:hAnsi="仿宋" w:eastAsia="仿宋_GB2312" w:cs="仿宋"/>
          <w:sz w:val="32"/>
          <w:szCs w:val="32"/>
        </w:rPr>
        <w:t>年</w:t>
      </w:r>
      <w:r>
        <w:rPr>
          <w:rFonts w:hint="eastAsia" w:ascii="仿宋_GB2312" w:hAnsi="Times New Roman" w:eastAsia="仿宋_GB2312"/>
          <w:sz w:val="32"/>
          <w:szCs w:val="32"/>
        </w:rPr>
        <w:t>3</w:t>
      </w:r>
      <w:r>
        <w:rPr>
          <w:rFonts w:hint="eastAsia" w:ascii="仿宋_GB2312" w:hAnsi="仿宋" w:eastAsia="仿宋_GB2312" w:cs="仿宋"/>
          <w:sz w:val="32"/>
          <w:szCs w:val="32"/>
        </w:rPr>
        <w:t>月</w:t>
      </w:r>
      <w:r>
        <w:rPr>
          <w:rFonts w:hint="eastAsia" w:ascii="仿宋_GB2312" w:hAnsi="Times New Roman" w:eastAsia="仿宋_GB2312"/>
          <w:sz w:val="32"/>
          <w:szCs w:val="32"/>
        </w:rPr>
        <w:t>26</w:t>
      </w:r>
      <w:r>
        <w:rPr>
          <w:rFonts w:hint="eastAsia" w:ascii="仿宋_GB2312" w:hAnsi="仿宋" w:eastAsia="仿宋_GB2312" w:cs="仿宋"/>
          <w:sz w:val="32"/>
          <w:szCs w:val="32"/>
        </w:rPr>
        <w:t>日起施行，实施期限至2025年12月31日。</w:t>
      </w:r>
      <w:r>
        <w:rPr>
          <w:rFonts w:hint="eastAsia" w:ascii="仿宋_GB2312" w:hAnsi="宋体" w:eastAsia="仿宋_GB2312" w:cs="宋体"/>
          <w:sz w:val="32"/>
          <w:szCs w:val="32"/>
          <w:shd w:val="clear" w:color="auto" w:fill="FFFFFF"/>
        </w:rPr>
        <w:t>期满后根据上级有关部门的规定及海洋生态保护修复形势的需要，评估确定是否继续实施和延续期限。</w:t>
      </w:r>
    </w:p>
    <w:p>
      <w:pPr>
        <w:pStyle w:val="7"/>
        <w:widowControl/>
        <w:spacing w:before="0" w:beforeAutospacing="0" w:after="0" w:afterAutospacing="0" w:line="560" w:lineRule="exact"/>
        <w:ind w:left="645"/>
        <w:jc w:val="both"/>
        <w:textAlignment w:val="baseline"/>
        <w:rPr>
          <w:rFonts w:ascii="仿宋_GB2312" w:hAnsi="仿宋" w:eastAsia="仿宋_GB2312" w:cs="仿宋"/>
          <w:sz w:val="32"/>
          <w:szCs w:val="32"/>
        </w:rPr>
      </w:pPr>
    </w:p>
    <w:p>
      <w:pPr>
        <w:pStyle w:val="7"/>
        <w:widowControl/>
        <w:spacing w:before="0" w:beforeAutospacing="0" w:after="0" w:afterAutospacing="0" w:line="560" w:lineRule="exact"/>
        <w:ind w:left="645"/>
        <w:jc w:val="both"/>
        <w:textAlignment w:val="baseline"/>
        <w:rPr>
          <w:rFonts w:ascii="仿宋_GB2312" w:hAnsi="仿宋" w:eastAsia="仿宋_GB2312" w:cs="仿宋"/>
          <w:sz w:val="32"/>
          <w:szCs w:val="32"/>
        </w:rPr>
      </w:pPr>
    </w:p>
    <w:p>
      <w:pPr>
        <w:spacing w:line="500" w:lineRule="exact"/>
        <w:ind w:firstLine="640"/>
        <w:jc w:val="center"/>
        <w:rPr>
          <w:lang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7" w:hRule="atLeast"/>
          <w:jc w:val="center"/>
        </w:trPr>
        <w:tc>
          <w:tcPr>
            <w:tcW w:w="9060" w:type="dxa"/>
            <w:tcBorders>
              <w:top w:val="single" w:color="auto" w:sz="4" w:space="0"/>
              <w:left w:val="nil"/>
              <w:bottom w:val="single" w:color="auto" w:sz="4" w:space="0"/>
              <w:right w:val="nil"/>
            </w:tcBorders>
            <w:vAlign w:val="center"/>
          </w:tcPr>
          <w:p>
            <w:pPr>
              <w:autoSpaceDE w:val="0"/>
              <w:autoSpaceDN w:val="0"/>
              <w:spacing w:line="500" w:lineRule="exact"/>
              <w:ind w:firstLine="160" w:firstLineChars="50"/>
              <w:rPr>
                <w:rFonts w:ascii="仿宋_GB2312" w:hAnsi="Calibri" w:eastAsia="仿宋_GB2312" w:cs="宋体"/>
                <w:sz w:val="32"/>
                <w:szCs w:val="32"/>
                <w:lang w:val="zh-CN" w:eastAsia="zh-CN"/>
              </w:rPr>
            </w:pPr>
            <w:r>
              <w:rPr>
                <w:rFonts w:hint="eastAsia" w:ascii="仿宋_GB2312" w:eastAsia="仿宋_GB2312"/>
                <w:sz w:val="32"/>
                <w:szCs w:val="32"/>
                <w:lang w:eastAsia="zh-CN"/>
              </w:rPr>
              <w:t>乐清市自然资源和规划局办公室        2024年2月26日印发</w:t>
            </w:r>
          </w:p>
        </w:tc>
      </w:tr>
    </w:tbl>
    <w:p>
      <w:pPr>
        <w:pStyle w:val="7"/>
        <w:widowControl/>
        <w:spacing w:before="0" w:beforeAutospacing="0" w:after="0" w:afterAutospacing="0" w:line="560" w:lineRule="exact"/>
        <w:ind w:left="645"/>
        <w:jc w:val="both"/>
        <w:textAlignment w:val="baseline"/>
        <w:rPr>
          <w:rFonts w:ascii="仿宋_GB2312" w:hAnsi="仿宋" w:eastAsia="仿宋_GB2312" w:cs="仿宋"/>
          <w:sz w:val="32"/>
          <w:szCs w:val="32"/>
        </w:rPr>
      </w:pPr>
    </w:p>
    <w:sectPr>
      <w:pgSz w:w="11907" w:h="16840"/>
      <w:pgMar w:top="2098" w:right="1531" w:bottom="1985"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4FBF1"/>
    <w:multiLevelType w:val="singleLevel"/>
    <w:tmpl w:val="F434FBF1"/>
    <w:lvl w:ilvl="0" w:tentative="0">
      <w:start w:val="11"/>
      <w:numFmt w:val="chineseCounting"/>
      <w:suff w:val="space"/>
      <w:lvlText w:val="第%1条"/>
      <w:lvlJc w:val="left"/>
      <w:rPr>
        <w:rFonts w:hint="eastAsia"/>
      </w:rPr>
    </w:lvl>
  </w:abstractNum>
  <w:abstractNum w:abstractNumId="1">
    <w:nsid w:val="037B6DC3"/>
    <w:multiLevelType w:val="singleLevel"/>
    <w:tmpl w:val="037B6DC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NzBjYjI1MTU2NGE3NjZjMGQ1NGYyOTMwMjhjNzUifQ=="/>
  </w:docVars>
  <w:rsids>
    <w:rsidRoot w:val="00D224C2"/>
    <w:rsid w:val="00020BE2"/>
    <w:rsid w:val="000C49E5"/>
    <w:rsid w:val="000D440E"/>
    <w:rsid w:val="00271E5B"/>
    <w:rsid w:val="0031240A"/>
    <w:rsid w:val="00365921"/>
    <w:rsid w:val="003978C9"/>
    <w:rsid w:val="0042099B"/>
    <w:rsid w:val="004A3551"/>
    <w:rsid w:val="00555E68"/>
    <w:rsid w:val="006213CF"/>
    <w:rsid w:val="00781F5F"/>
    <w:rsid w:val="0094337C"/>
    <w:rsid w:val="00A34369"/>
    <w:rsid w:val="00C739DE"/>
    <w:rsid w:val="00CF2164"/>
    <w:rsid w:val="00D224C2"/>
    <w:rsid w:val="00D91FCD"/>
    <w:rsid w:val="1231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kern w:val="0"/>
      <w:sz w:val="22"/>
      <w:szCs w:val="22"/>
      <w:lang w:val="en-US" w:eastAsia="en-US"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qFormat/>
    <w:uiPriority w:val="0"/>
    <w:rPr>
      <w:rFonts w:ascii="Calibri" w:hAnsi="Calibri" w:eastAsia="宋体" w:cs="Times New Roman"/>
      <w:kern w:val="2"/>
      <w:sz w:val="21"/>
      <w:szCs w:val="24"/>
      <w:lang w:eastAsia="zh-CN"/>
    </w:rPr>
  </w:style>
  <w:style w:type="paragraph" w:styleId="3">
    <w:name w:val="Body Text"/>
    <w:basedOn w:val="1"/>
    <w:link w:val="11"/>
    <w:autoRedefine/>
    <w:qFormat/>
    <w:uiPriority w:val="1"/>
    <w:pPr>
      <w:ind w:left="254"/>
    </w:pPr>
    <w:rPr>
      <w:rFonts w:ascii="宋体" w:hAnsi="宋体" w:eastAsia="宋体"/>
      <w:sz w:val="30"/>
      <w:szCs w:val="30"/>
    </w:rPr>
  </w:style>
  <w:style w:type="paragraph" w:styleId="4">
    <w:name w:val="Balloon Text"/>
    <w:basedOn w:val="1"/>
    <w:link w:val="13"/>
    <w:autoRedefine/>
    <w:semiHidden/>
    <w:unhideWhenUsed/>
    <w:qFormat/>
    <w:uiPriority w:val="99"/>
    <w:rPr>
      <w:sz w:val="18"/>
      <w:szCs w:val="18"/>
    </w:rPr>
  </w:style>
  <w:style w:type="paragraph" w:styleId="5">
    <w:name w:val="footer"/>
    <w:basedOn w:val="1"/>
    <w:link w:val="15"/>
    <w:autoRedefine/>
    <w:semiHidden/>
    <w:unhideWhenUsed/>
    <w:qFormat/>
    <w:uiPriority w:val="99"/>
    <w:pPr>
      <w:tabs>
        <w:tab w:val="center" w:pos="4153"/>
        <w:tab w:val="right" w:pos="8306"/>
      </w:tabs>
      <w:snapToGrid w:val="0"/>
    </w:pPr>
    <w:rPr>
      <w:sz w:val="18"/>
      <w:szCs w:val="18"/>
    </w:rPr>
  </w:style>
  <w:style w:type="paragraph" w:styleId="6">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100" w:beforeAutospacing="1" w:after="100" w:afterAutospacing="1"/>
    </w:pPr>
    <w:rPr>
      <w:rFonts w:ascii="Calibri" w:hAnsi="Calibri" w:eastAsia="宋体" w:cs="Times New Roman"/>
      <w:sz w:val="24"/>
      <w:szCs w:val="24"/>
      <w:lang w:eastAsia="zh-CN"/>
    </w:rPr>
  </w:style>
  <w:style w:type="character" w:styleId="10">
    <w:name w:val="annotation reference"/>
    <w:autoRedefine/>
    <w:qFormat/>
    <w:uiPriority w:val="0"/>
    <w:rPr>
      <w:sz w:val="21"/>
      <w:szCs w:val="21"/>
    </w:rPr>
  </w:style>
  <w:style w:type="character" w:customStyle="1" w:styleId="11">
    <w:name w:val="正文文本 Char"/>
    <w:basedOn w:val="9"/>
    <w:link w:val="3"/>
    <w:autoRedefine/>
    <w:qFormat/>
    <w:uiPriority w:val="1"/>
    <w:rPr>
      <w:rFonts w:ascii="宋体" w:hAnsi="宋体" w:eastAsia="宋体"/>
      <w:kern w:val="0"/>
      <w:sz w:val="30"/>
      <w:szCs w:val="30"/>
      <w:lang w:eastAsia="en-US"/>
    </w:rPr>
  </w:style>
  <w:style w:type="character" w:customStyle="1" w:styleId="12">
    <w:name w:val="批注文字 Char"/>
    <w:basedOn w:val="9"/>
    <w:link w:val="2"/>
    <w:uiPriority w:val="0"/>
    <w:rPr>
      <w:rFonts w:ascii="Calibri" w:hAnsi="Calibri" w:eastAsia="宋体" w:cs="Times New Roman"/>
      <w:szCs w:val="24"/>
    </w:rPr>
  </w:style>
  <w:style w:type="character" w:customStyle="1" w:styleId="13">
    <w:name w:val="批注框文本 Char"/>
    <w:basedOn w:val="9"/>
    <w:link w:val="4"/>
    <w:autoRedefine/>
    <w:semiHidden/>
    <w:qFormat/>
    <w:uiPriority w:val="99"/>
    <w:rPr>
      <w:kern w:val="0"/>
      <w:sz w:val="18"/>
      <w:szCs w:val="18"/>
      <w:lang w:eastAsia="en-US"/>
    </w:rPr>
  </w:style>
  <w:style w:type="character" w:customStyle="1" w:styleId="14">
    <w:name w:val="页眉 Char"/>
    <w:basedOn w:val="9"/>
    <w:link w:val="6"/>
    <w:autoRedefine/>
    <w:semiHidden/>
    <w:qFormat/>
    <w:uiPriority w:val="99"/>
    <w:rPr>
      <w:kern w:val="0"/>
      <w:sz w:val="18"/>
      <w:szCs w:val="18"/>
      <w:lang w:eastAsia="en-US"/>
    </w:rPr>
  </w:style>
  <w:style w:type="character" w:customStyle="1" w:styleId="15">
    <w:name w:val="页脚 Char"/>
    <w:basedOn w:val="9"/>
    <w:link w:val="5"/>
    <w:autoRedefine/>
    <w:semiHidden/>
    <w:qFormat/>
    <w:uiPriority w:val="99"/>
    <w:rPr>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Corp.</Company>
  <Pages>4</Pages>
  <Words>244</Words>
  <Characters>1392</Characters>
  <Lines>11</Lines>
  <Paragraphs>3</Paragraphs>
  <TotalTime>0</TotalTime>
  <ScaleCrop>false</ScaleCrop>
  <LinksUpToDate>false</LinksUpToDate>
  <CharactersWithSpaces>1633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2024-02-29T01:41:00Z</dcterms:created>
  <dc:creator>1</dc:creator>
  <cp:lastModifiedBy>Reaction</cp:lastModifiedBy>
  <cp:lastPrinted>2024-02-29T01:39:00Z</cp:lastPrinted>
  <dcterms:modified xsi:type="dcterms:W3CDTF">2024-04-25T00:47:34Z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16CCFDB883B84B18BFFA7F0936D42F94_12</vt:lpwstr>
  </property>
</Properties>
</file>