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华文楷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华文楷体" w:eastAsia="方正小标宋简体" w:cs="方正小标宋简体"/>
          <w:kern w:val="2"/>
          <w:sz w:val="44"/>
          <w:szCs w:val="44"/>
          <w:lang w:val="en-US" w:eastAsia="zh-CN" w:bidi="ar"/>
        </w:rPr>
        <w:t>乐清市司法局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 w:line="6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华文楷体" w:eastAsia="方正小标宋简体" w:cs="方正小标宋简体"/>
          <w:kern w:val="2"/>
          <w:sz w:val="44"/>
          <w:szCs w:val="44"/>
          <w:lang w:val="en-US" w:eastAsia="zh-CN" w:bidi="ar"/>
        </w:rPr>
        <w:t>关于公布行政规范性文件清理结果的通知（征求意见稿）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各有关单位：</w:t>
      </w:r>
    </w:p>
    <w:p>
      <w:pPr>
        <w:keepNext w:val="0"/>
        <w:keepLines w:val="0"/>
        <w:widowControl w:val="0"/>
        <w:suppressLineNumbers w:val="0"/>
        <w:tabs>
          <w:tab w:val="left" w:pos="7560"/>
        </w:tabs>
        <w:spacing w:before="0" w:beforeAutospacing="0" w:after="0" w:afterAutospacing="0" w:line="560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为加强行政规范性文件管理，切实推进依法行政，加快法治政府建设，根据《浙江省行政规范性文件管理办法》（省政府令第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372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号）要求，结合我局实际，对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日以前我局（包括与其他主管部门联合）制定的行政规范性文件进行了全面清理。本通知自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日起施行。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附件：继续有效的规范性文件目录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640"/>
        <w:jc w:val="right"/>
        <w:rPr>
          <w:lang w:val="en-US"/>
        </w:rPr>
      </w:pPr>
    </w:p>
    <w:p>
      <w:pPr>
        <w:pStyle w:val="4"/>
        <w:widowControl/>
        <w:spacing w:line="560" w:lineRule="exact"/>
        <w:ind w:left="0" w:firstLine="640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480"/>
        <w:jc w:val="right"/>
        <w:rPr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乐清市司法局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312" w:firstLine="640" w:firstLineChars="200"/>
        <w:jc w:val="right"/>
        <w:rPr>
          <w:rFonts w:hint="eastAsia" w:ascii="仿宋_GB2312" w:eastAsia="仿宋_GB2312" w:cs="仿宋_GB231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pStyle w:val="4"/>
        <w:widowControl/>
        <w:ind w:left="0" w:firstLine="48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华文楷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华文楷体" w:eastAsia="方正小标宋简体" w:cs="方正小标宋简体"/>
          <w:kern w:val="2"/>
          <w:sz w:val="44"/>
          <w:szCs w:val="44"/>
          <w:lang w:val="en-US" w:eastAsia="zh-CN" w:bidi="ar"/>
        </w:rPr>
        <w:t>继续有效的规范性文件目录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lang w:val="en-US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6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文  号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文件名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乐司〔2014〕41号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关于印发《关于建立学生伤害纠纷人民调解工作机制的实施意见》的通知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乐司〔2015〕33号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关于建立环境保护纠纷人民调解工作机制的意见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乐司〔2015〕34号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关于建立物业管理纠纷人民调解工作机制的意见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乐司〔2016〕27号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关于在全市律师行业实施“名所名品名律师培育工程的意见”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华文楷体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DkwODMyYjdiYzg4N2E5MDhlNGUzNjM4YTUxZWQifQ=="/>
  </w:docVars>
  <w:rsids>
    <w:rsidRoot w:val="00000000"/>
    <w:rsid w:val="4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Calibri" w:hAnsi="Calibri" w:eastAsia="仿宋_GB2312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2022-09-23T02:33:19Z</dcterms:created>
  <dc:creator>lenovo</dc:creator>
  <cp:lastModifiedBy>lenovo</cp:lastModifiedBy>
  <dcterms:modified xsi:type="dcterms:W3CDTF">2022-09-23T02:33:42Z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093DD13B4D964192A3C7D437202ED8F5</vt:lpwstr>
  </property>
</Properties>
</file>