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pacing w:val="-1"/>
          <w:position w:val="2"/>
          <w:sz w:val="10"/>
          <w:szCs w:val="10"/>
        </w:rPr>
      </w:pPr>
      <w:bookmarkStart w:id="0" w:name="_GoBack"/>
      <w:bookmarkEnd w:id="0"/>
    </w:p>
    <w:p>
      <w:pPr>
        <w:keepNext w:val="0"/>
        <w:keepLines w:val="0"/>
        <w:pageBreakBefore w:val="0"/>
        <w:wordWrap/>
        <w:overflowPunct/>
        <w:topLinePunct w:val="0"/>
        <w:bidi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position w:val="2"/>
          <w:sz w:val="44"/>
          <w:szCs w:val="44"/>
        </w:rPr>
        <w:t>乐清市“医保纾困·携手共富”实施方</w:t>
      </w:r>
      <w:r>
        <w:rPr>
          <w:rFonts w:hint="eastAsia" w:ascii="方正小标宋简体" w:hAnsi="方正小标宋简体" w:eastAsia="方正小标宋简体" w:cs="方正小标宋简体"/>
          <w:position w:val="2"/>
          <w:sz w:val="44"/>
          <w:szCs w:val="44"/>
        </w:rPr>
        <w:t>案</w:t>
      </w:r>
    </w:p>
    <w:p>
      <w:pPr>
        <w:keepNext w:val="0"/>
        <w:keepLines w:val="0"/>
        <w:pageBreakBefore w:val="0"/>
        <w:wordWrap/>
        <w:overflowPunct/>
        <w:topLinePunct w:val="0"/>
        <w:bidi w:val="0"/>
        <w:spacing w:line="560" w:lineRule="exact"/>
        <w:jc w:val="center"/>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（征求意见稿）</w:t>
      </w:r>
    </w:p>
    <w:p>
      <w:pPr>
        <w:keepNext w:val="0"/>
        <w:keepLines w:val="0"/>
        <w:pageBreakBefore w:val="0"/>
        <w:wordWrap/>
        <w:overflowPunct/>
        <w:topLinePunct w:val="0"/>
        <w:bidi w:val="0"/>
        <w:spacing w:line="560" w:lineRule="exact"/>
        <w:ind w:firstLine="656"/>
        <w:jc w:val="center"/>
        <w:rPr>
          <w:rFonts w:hint="eastAsia" w:ascii="仿宋_GB2312" w:hAnsi="仿宋_GB2312" w:eastAsia="仿宋_GB2312" w:cs="仿宋_GB2312"/>
          <w:spacing w:val="5"/>
          <w:sz w:val="21"/>
          <w:szCs w:val="21"/>
        </w:rPr>
      </w:pPr>
    </w:p>
    <w:p>
      <w:pPr>
        <w:keepNext w:val="0"/>
        <w:keepLines w:val="0"/>
        <w:pageBreakBefore w:val="0"/>
        <w:wordWrap/>
        <w:overflowPunct/>
        <w:topLinePunct w:val="0"/>
        <w:bidi w:val="0"/>
        <w:spacing w:line="560" w:lineRule="exact"/>
        <w:ind w:firstLine="656"/>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为健全防范化解困难群众因病致贫</w:t>
      </w:r>
      <w:r>
        <w:rPr>
          <w:rFonts w:hint="eastAsia" w:ascii="仿宋_GB2312" w:hAnsi="仿宋_GB2312" w:eastAsia="仿宋_GB2312" w:cs="仿宋_GB2312"/>
          <w:spacing w:val="4"/>
          <w:sz w:val="32"/>
          <w:szCs w:val="32"/>
        </w:rPr>
        <w:t>返贫长效机制</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4"/>
          <w:sz w:val="32"/>
          <w:szCs w:val="32"/>
        </w:rPr>
        <w:t>增强对困</w:t>
      </w:r>
      <w:r>
        <w:rPr>
          <w:rFonts w:hint="eastAsia" w:ascii="仿宋_GB2312" w:hAnsi="仿宋_GB2312" w:eastAsia="仿宋_GB2312" w:cs="仿宋_GB2312"/>
          <w:spacing w:val="6"/>
          <w:sz w:val="32"/>
          <w:szCs w:val="32"/>
        </w:rPr>
        <w:t>难群众基础性、兜底性保障，根据《国务院</w:t>
      </w:r>
      <w:r>
        <w:rPr>
          <w:rFonts w:hint="eastAsia" w:ascii="仿宋_GB2312" w:hAnsi="仿宋_GB2312" w:eastAsia="仿宋_GB2312" w:cs="仿宋_GB2312"/>
          <w:spacing w:val="5"/>
          <w:sz w:val="32"/>
          <w:szCs w:val="32"/>
        </w:rPr>
        <w:t>办公厅关于健全重特</w:t>
      </w:r>
      <w:r>
        <w:rPr>
          <w:rFonts w:hint="eastAsia" w:ascii="仿宋_GB2312" w:hAnsi="仿宋_GB2312" w:eastAsia="仿宋_GB2312" w:cs="仿宋_GB2312"/>
          <w:spacing w:val="-6"/>
          <w:sz w:val="32"/>
          <w:szCs w:val="32"/>
        </w:rPr>
        <w:t>大疾病医疗保险和救助制度的意见</w:t>
      </w:r>
      <w:r>
        <w:rPr>
          <w:rFonts w:hint="eastAsia" w:ascii="仿宋_GB2312" w:hAnsi="仿宋_GB2312" w:eastAsia="仿宋_GB2312" w:cs="仿宋_GB2312"/>
          <w:spacing w:val="-5"/>
          <w:sz w:val="32"/>
          <w:szCs w:val="32"/>
        </w:rPr>
        <w:t>》（国办发〔</w:t>
      </w:r>
      <w:r>
        <w:rPr>
          <w:rFonts w:hint="eastAsia" w:ascii="仿宋_GB2312" w:hAnsi="仿宋_GB2312" w:eastAsia="仿宋_GB2312" w:cs="仿宋_GB2312"/>
          <w:spacing w:val="-2"/>
          <w:sz w:val="32"/>
          <w:szCs w:val="32"/>
        </w:rPr>
        <w:t>2021</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2"/>
          <w:sz w:val="32"/>
          <w:szCs w:val="32"/>
        </w:rPr>
        <w:t>42</w:t>
      </w:r>
      <w:r>
        <w:rPr>
          <w:rFonts w:hint="eastAsia" w:ascii="仿宋_GB2312" w:hAnsi="仿宋_GB2312" w:eastAsia="仿宋_GB2312" w:cs="仿宋_GB2312"/>
          <w:spacing w:val="-5"/>
          <w:sz w:val="32"/>
          <w:szCs w:val="32"/>
        </w:rPr>
        <w:t>号</w:t>
      </w:r>
      <w:r>
        <w:rPr>
          <w:rFonts w:hint="eastAsia" w:ascii="仿宋_GB2312" w:hAnsi="仿宋_GB2312" w:eastAsia="仿宋_GB2312" w:cs="仿宋_GB2312"/>
          <w:spacing w:val="-161"/>
          <w:sz w:val="32"/>
          <w:szCs w:val="32"/>
        </w:rPr>
        <w:t>）、</w:t>
      </w:r>
      <w:r>
        <w:rPr>
          <w:rFonts w:hint="eastAsia" w:ascii="仿宋_GB2312" w:hAnsi="仿宋_GB2312" w:eastAsia="仿宋_GB2312" w:cs="仿宋_GB2312"/>
          <w:spacing w:val="-5"/>
          <w:sz w:val="32"/>
          <w:szCs w:val="32"/>
        </w:rPr>
        <w:t>《温</w:t>
      </w:r>
      <w:r>
        <w:rPr>
          <w:rFonts w:hint="eastAsia" w:ascii="仿宋_GB2312" w:hAnsi="仿宋_GB2312" w:eastAsia="仿宋_GB2312" w:cs="仿宋_GB2312"/>
          <w:spacing w:val="6"/>
          <w:sz w:val="32"/>
          <w:szCs w:val="32"/>
        </w:rPr>
        <w:t>州打造高质量发展建设共同富裕示范</w:t>
      </w:r>
      <w:r>
        <w:rPr>
          <w:rFonts w:hint="eastAsia" w:ascii="仿宋_GB2312" w:hAnsi="仿宋_GB2312" w:eastAsia="仿宋_GB2312" w:cs="仿宋_GB2312"/>
          <w:spacing w:val="5"/>
          <w:sz w:val="32"/>
          <w:szCs w:val="32"/>
        </w:rPr>
        <w:t>区市域样板行动方案（</w:t>
      </w:r>
      <w:r>
        <w:rPr>
          <w:rFonts w:hint="eastAsia" w:ascii="仿宋_GB2312" w:hAnsi="仿宋_GB2312" w:eastAsia="仿宋_GB2312" w:cs="仿宋_GB2312"/>
          <w:spacing w:val="3"/>
          <w:sz w:val="32"/>
          <w:szCs w:val="32"/>
        </w:rPr>
        <w:t>2021</w:t>
      </w:r>
      <w:r>
        <w:rPr>
          <w:rFonts w:hint="eastAsia" w:ascii="仿宋_GB2312" w:hAnsi="仿宋_GB2312" w:eastAsia="仿宋_GB2312" w:cs="仿宋_GB2312"/>
          <w:sz w:val="32"/>
          <w:szCs w:val="32"/>
        </w:rPr>
        <w:t>年-2025年</w:t>
      </w:r>
      <w:r>
        <w:rPr>
          <w:rFonts w:hint="eastAsia" w:ascii="仿宋_GB2312" w:hAnsi="仿宋_GB2312" w:eastAsia="仿宋_GB2312" w:cs="仿宋_GB2312"/>
          <w:spacing w:val="-75"/>
          <w:sz w:val="32"/>
          <w:szCs w:val="32"/>
        </w:rPr>
        <w:t>）</w:t>
      </w:r>
      <w:r>
        <w:rPr>
          <w:rFonts w:hint="eastAsia" w:ascii="仿宋_GB2312" w:hAnsi="仿宋_GB2312" w:eastAsia="仿宋_GB2312" w:cs="仿宋_GB2312"/>
          <w:sz w:val="32"/>
          <w:szCs w:val="32"/>
        </w:rPr>
        <w:t>》（温委发〔2021〕19号</w:t>
      </w:r>
      <w:r>
        <w:rPr>
          <w:rFonts w:hint="eastAsia" w:ascii="仿宋_GB2312" w:hAnsi="仿宋_GB2312" w:eastAsia="仿宋_GB2312" w:cs="仿宋_GB2312"/>
          <w:spacing w:val="-75"/>
          <w:sz w:val="32"/>
          <w:szCs w:val="32"/>
        </w:rPr>
        <w:t>）</w:t>
      </w:r>
      <w:r>
        <w:rPr>
          <w:rFonts w:hint="eastAsia" w:ascii="仿宋_GB2312" w:hAnsi="仿宋_GB2312" w:eastAsia="仿宋_GB2312" w:cs="仿宋_GB2312"/>
          <w:sz w:val="32"/>
          <w:szCs w:val="32"/>
        </w:rPr>
        <w:t>及全市“扩中提低”专项行动决策部署</w:t>
      </w:r>
      <w:r>
        <w:rPr>
          <w:rFonts w:hint="eastAsia" w:ascii="仿宋_GB2312" w:hAnsi="仿宋_GB2312" w:eastAsia="仿宋_GB2312" w:cs="仿宋_GB2312"/>
          <w:spacing w:val="1"/>
          <w:sz w:val="32"/>
          <w:szCs w:val="32"/>
        </w:rPr>
        <w:t>，结合乐清实际，</w:t>
      </w:r>
      <w:r>
        <w:rPr>
          <w:rFonts w:hint="eastAsia" w:ascii="仿宋_GB2312" w:hAnsi="仿宋_GB2312" w:eastAsia="仿宋_GB2312" w:cs="仿宋_GB2312"/>
          <w:sz w:val="32"/>
          <w:szCs w:val="32"/>
        </w:rPr>
        <w:t>就开展“医保纾困·携手共富”行动提出以下</w:t>
      </w:r>
      <w:r>
        <w:rPr>
          <w:rFonts w:hint="eastAsia" w:ascii="仿宋_GB2312" w:hAnsi="仿宋_GB2312" w:eastAsia="仿宋_GB2312" w:cs="仿宋_GB2312"/>
          <w:spacing w:val="6"/>
          <w:sz w:val="32"/>
          <w:szCs w:val="32"/>
        </w:rPr>
        <w:t>实施方案</w:t>
      </w:r>
      <w:r>
        <w:rPr>
          <w:rFonts w:hint="eastAsia" w:ascii="仿宋_GB2312" w:hAnsi="仿宋_GB2312" w:eastAsia="仿宋_GB2312" w:cs="仿宋_GB2312"/>
          <w:spacing w:val="8"/>
          <w:sz w:val="32"/>
          <w:szCs w:val="32"/>
        </w:rPr>
        <w:t>。</w:t>
      </w:r>
    </w:p>
    <w:p>
      <w:pPr>
        <w:keepNext w:val="0"/>
        <w:keepLines w:val="0"/>
        <w:pageBreakBefore w:val="0"/>
        <w:wordWrap/>
        <w:overflowPunct/>
        <w:topLinePunct w:val="0"/>
        <w:bidi w:val="0"/>
        <w:spacing w:line="560" w:lineRule="exact"/>
        <w:ind w:firstLine="651"/>
        <w:rPr>
          <w:rFonts w:ascii="黑体" w:hAnsi="黑体" w:eastAsia="黑体" w:cs="黑体"/>
          <w:sz w:val="32"/>
          <w:szCs w:val="32"/>
        </w:rPr>
      </w:pPr>
      <w:r>
        <w:rPr>
          <w:rFonts w:ascii="黑体" w:hAnsi="黑体" w:eastAsia="黑体" w:cs="黑体"/>
          <w:spacing w:val="7"/>
          <w:position w:val="4"/>
          <w:sz w:val="32"/>
          <w:szCs w:val="32"/>
        </w:rPr>
        <w:t>一</w:t>
      </w:r>
      <w:r>
        <w:rPr>
          <w:rFonts w:ascii="黑体" w:hAnsi="黑体" w:eastAsia="黑体" w:cs="黑体"/>
          <w:spacing w:val="8"/>
          <w:position w:val="4"/>
          <w:sz w:val="32"/>
          <w:szCs w:val="32"/>
        </w:rPr>
        <w:t>、</w:t>
      </w:r>
      <w:r>
        <w:rPr>
          <w:rFonts w:ascii="黑体" w:hAnsi="黑体" w:eastAsia="黑体" w:cs="黑体"/>
          <w:spacing w:val="6"/>
          <w:position w:val="4"/>
          <w:sz w:val="32"/>
          <w:szCs w:val="32"/>
        </w:rPr>
        <w:t>工作目标</w:t>
      </w:r>
    </w:p>
    <w:p>
      <w:pPr>
        <w:keepNext w:val="0"/>
        <w:keepLines w:val="0"/>
        <w:pageBreakBefore w:val="0"/>
        <w:wordWrap/>
        <w:overflowPunct/>
        <w:topLinePunct w:val="0"/>
        <w:bidi w:val="0"/>
        <w:spacing w:line="560" w:lineRule="exact"/>
        <w:ind w:firstLine="65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以习近平新时代中国特色社会主义思想为指导，全面贯彻党的十九大和十九届二中、三中、四中、五中、六中全会以及省市委全会精神，坚持以人民为中心，坚持共同富裕方向，坚持应保尽保、保障基本，尽力而为、量力而行，聚焦防范化解困难群众因病致贫返贫问题，强化基本医保、大病保险、医疗救助（以下统称三重制度）综合保障，促进商业补充医疗保险、慈善救助等协同发展，实现预防监测早干预、合理诊疗降费用、参保缴费有资助、待遇支付有倾斜、精准保障有边界、多层保障有衔接，不断增强困难群众获得感、幸福感、安全感。</w:t>
      </w:r>
    </w:p>
    <w:p>
      <w:pPr>
        <w:keepNext w:val="0"/>
        <w:keepLines w:val="0"/>
        <w:pageBreakBefore w:val="0"/>
        <w:numPr>
          <w:ilvl w:val="0"/>
          <w:numId w:val="1"/>
        </w:numPr>
        <w:wordWrap/>
        <w:overflowPunct/>
        <w:topLinePunct w:val="0"/>
        <w:bidi w:val="0"/>
        <w:spacing w:line="560" w:lineRule="exact"/>
        <w:ind w:firstLine="651"/>
        <w:rPr>
          <w:rFonts w:ascii="黑体" w:hAnsi="黑体" w:eastAsia="黑体" w:cs="黑体"/>
          <w:spacing w:val="6"/>
          <w:position w:val="2"/>
          <w:sz w:val="32"/>
          <w:szCs w:val="32"/>
        </w:rPr>
      </w:pPr>
      <w:r>
        <w:rPr>
          <w:rFonts w:ascii="黑体" w:hAnsi="黑体" w:eastAsia="黑体" w:cs="黑体"/>
          <w:spacing w:val="6"/>
          <w:position w:val="2"/>
          <w:sz w:val="32"/>
          <w:szCs w:val="32"/>
        </w:rPr>
        <w:t>适用对象</w:t>
      </w:r>
    </w:p>
    <w:p>
      <w:pPr>
        <w:keepNext w:val="0"/>
        <w:keepLines w:val="0"/>
        <w:pageBreakBefore w:val="0"/>
        <w:wordWrap/>
        <w:overflowPunct/>
        <w:topLinePunct w:val="0"/>
        <w:bidi w:val="0"/>
        <w:spacing w:line="560" w:lineRule="exact"/>
        <w:ind w:firstLine="65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本方案适用于浙江省大救助平台中由民政部门认定的特困、低保、低边和纳入低保、低边的因病致贫对象及县级以上人民政府规定的其他特殊困难人员（以下统称困难群众）。</w:t>
      </w:r>
    </w:p>
    <w:p>
      <w:pPr>
        <w:keepNext w:val="0"/>
        <w:keepLines w:val="0"/>
        <w:pageBreakBefore w:val="0"/>
        <w:wordWrap/>
        <w:overflowPunct/>
        <w:topLinePunct w:val="0"/>
        <w:bidi w:val="0"/>
        <w:spacing w:line="560" w:lineRule="exact"/>
        <w:ind w:firstLine="659"/>
        <w:rPr>
          <w:rFonts w:ascii="黑体" w:hAnsi="黑体" w:eastAsia="黑体" w:cs="黑体"/>
          <w:sz w:val="32"/>
          <w:szCs w:val="32"/>
        </w:rPr>
      </w:pPr>
      <w:r>
        <w:rPr>
          <w:rFonts w:ascii="黑体" w:hAnsi="黑体" w:eastAsia="黑体" w:cs="黑体"/>
          <w:spacing w:val="6"/>
          <w:sz w:val="32"/>
          <w:szCs w:val="32"/>
        </w:rPr>
        <w:t>三</w:t>
      </w:r>
      <w:r>
        <w:rPr>
          <w:rFonts w:ascii="黑体" w:hAnsi="黑体" w:eastAsia="黑体" w:cs="黑体"/>
          <w:spacing w:val="8"/>
          <w:sz w:val="32"/>
          <w:szCs w:val="32"/>
        </w:rPr>
        <w:t>、</w:t>
      </w:r>
      <w:r>
        <w:rPr>
          <w:rFonts w:ascii="黑体" w:hAnsi="黑体" w:eastAsia="黑体" w:cs="黑体"/>
          <w:spacing w:val="6"/>
          <w:sz w:val="32"/>
          <w:szCs w:val="32"/>
        </w:rPr>
        <w:t>主要措施</w:t>
      </w:r>
    </w:p>
    <w:p>
      <w:pPr>
        <w:keepNext w:val="0"/>
        <w:keepLines w:val="0"/>
        <w:pageBreakBefore w:val="0"/>
        <w:wordWrap/>
        <w:overflowPunct/>
        <w:topLinePunct w:val="0"/>
        <w:bidi w:val="0"/>
        <w:spacing w:line="560" w:lineRule="exact"/>
        <w:ind w:firstLine="645"/>
        <w:rPr>
          <w:rFonts w:ascii="楷体" w:hAnsi="楷体" w:eastAsia="楷体" w:cs="楷体"/>
          <w:sz w:val="32"/>
          <w:szCs w:val="32"/>
        </w:rPr>
      </w:pPr>
      <w:r>
        <w:rPr>
          <w:rFonts w:ascii="楷体" w:hAnsi="楷体" w:eastAsia="楷体" w:cs="楷体"/>
          <w:spacing w:val="2"/>
          <w:sz w:val="32"/>
          <w:szCs w:val="32"/>
        </w:rPr>
        <w:t>（一</w:t>
      </w:r>
      <w:r>
        <w:rPr>
          <w:rFonts w:ascii="楷体" w:hAnsi="楷体" w:eastAsia="楷体" w:cs="楷体"/>
          <w:spacing w:val="3"/>
          <w:sz w:val="32"/>
          <w:szCs w:val="32"/>
        </w:rPr>
        <w:t>）</w:t>
      </w:r>
      <w:r>
        <w:rPr>
          <w:rFonts w:ascii="楷体" w:hAnsi="楷体" w:eastAsia="楷体" w:cs="楷体"/>
          <w:spacing w:val="2"/>
          <w:sz w:val="32"/>
          <w:szCs w:val="32"/>
        </w:rPr>
        <w:t>强化预防监测</w:t>
      </w:r>
      <w:r>
        <w:rPr>
          <w:rFonts w:ascii="楷体" w:hAnsi="楷体" w:eastAsia="楷体" w:cs="楷体"/>
          <w:spacing w:val="3"/>
          <w:sz w:val="32"/>
          <w:szCs w:val="32"/>
        </w:rPr>
        <w:t>，</w:t>
      </w:r>
      <w:r>
        <w:rPr>
          <w:rFonts w:ascii="楷体" w:hAnsi="楷体" w:eastAsia="楷体" w:cs="楷体"/>
          <w:spacing w:val="2"/>
          <w:sz w:val="32"/>
          <w:szCs w:val="32"/>
        </w:rPr>
        <w:t>及时发现致贫</w:t>
      </w:r>
      <w:r>
        <w:rPr>
          <w:rFonts w:ascii="楷体" w:hAnsi="楷体" w:eastAsia="楷体" w:cs="楷体"/>
          <w:spacing w:val="1"/>
          <w:sz w:val="32"/>
          <w:szCs w:val="32"/>
        </w:rPr>
        <w:t>返贫风险</w:t>
      </w:r>
    </w:p>
    <w:p>
      <w:pPr>
        <w:keepNext w:val="0"/>
        <w:keepLines w:val="0"/>
        <w:pageBreakBefore w:val="0"/>
        <w:wordWrap/>
        <w:overflowPunct/>
        <w:topLinePunct w:val="0"/>
        <w:bidi w:val="0"/>
        <w:spacing w:line="560" w:lineRule="exact"/>
        <w:ind w:left="6" w:firstLine="671"/>
        <w:rPr>
          <w:rFonts w:ascii="楷体" w:hAnsi="楷体" w:eastAsia="楷体" w:cs="楷体"/>
          <w:sz w:val="32"/>
          <w:szCs w:val="32"/>
        </w:rPr>
      </w:pPr>
      <w:r>
        <w:rPr>
          <w:rFonts w:hint="eastAsia" w:ascii="仿宋_GB2312" w:hAnsi="仿宋_GB2312" w:eastAsia="仿宋_GB2312" w:cs="仿宋_GB2312"/>
          <w:b/>
          <w:bCs/>
          <w:spacing w:val="-6"/>
          <w:sz w:val="32"/>
          <w:szCs w:val="32"/>
        </w:rPr>
        <w:t>1.强化健康教育精准服务。</w:t>
      </w:r>
      <w:r>
        <w:rPr>
          <w:rFonts w:hint="eastAsia" w:ascii="仿宋_GB2312" w:hAnsi="仿宋_GB2312" w:eastAsia="仿宋_GB2312" w:cs="仿宋_GB2312"/>
          <w:spacing w:val="-6"/>
          <w:sz w:val="32"/>
          <w:szCs w:val="32"/>
        </w:rPr>
        <w:t>扎实开展健康知识进万家活动，为困难群众提供更加精准规范的健康教育服务。鼓励各医院定期组织各类专家为困难群众开展“送医下乡”活动。创新“1+1+1”帮扶政策，即一名困难群众有一名干部结对、一名家庭签约责任医生联系，实现“一户一策”“一人一策”。强化家庭签约医师责任，及时关注、监测困难群众大病、重病救治情况，为困难群众提供健康咨询、定期巡诊、医保政策宣传以及协助办理特殊门诊等服务。鼓励家庭医生签约团队配备中医师或“西学中”临床医师，强化对家庭医生的绩效考核，并将考核结果与签约服务费分配挂钩。</w:t>
      </w:r>
      <w:r>
        <w:rPr>
          <w:rFonts w:ascii="楷体" w:hAnsi="楷体" w:eastAsia="楷体" w:cs="楷体"/>
          <w:spacing w:val="6"/>
          <w:sz w:val="32"/>
          <w:szCs w:val="32"/>
        </w:rPr>
        <w:t>（牵头单位：市</w:t>
      </w:r>
      <w:r>
        <w:rPr>
          <w:rFonts w:hint="eastAsia" w:ascii="楷体" w:hAnsi="楷体" w:eastAsia="楷体" w:cs="楷体"/>
          <w:spacing w:val="6"/>
          <w:sz w:val="32"/>
          <w:szCs w:val="32"/>
        </w:rPr>
        <w:t>卫健局</w:t>
      </w:r>
      <w:r>
        <w:rPr>
          <w:rFonts w:ascii="楷体" w:hAnsi="楷体" w:eastAsia="楷体" w:cs="楷体"/>
          <w:spacing w:val="6"/>
          <w:sz w:val="32"/>
          <w:szCs w:val="32"/>
        </w:rPr>
        <w:t>；责</w:t>
      </w:r>
      <w:r>
        <w:rPr>
          <w:rFonts w:ascii="楷体" w:hAnsi="楷体" w:eastAsia="楷体" w:cs="楷体"/>
          <w:spacing w:val="5"/>
          <w:sz w:val="32"/>
          <w:szCs w:val="32"/>
        </w:rPr>
        <w:t>任单位</w:t>
      </w:r>
      <w:r>
        <w:rPr>
          <w:rFonts w:ascii="楷体" w:hAnsi="楷体" w:eastAsia="楷体" w:cs="楷体"/>
          <w:spacing w:val="6"/>
          <w:sz w:val="32"/>
          <w:szCs w:val="32"/>
        </w:rPr>
        <w:t>：</w:t>
      </w:r>
      <w:r>
        <w:rPr>
          <w:rFonts w:ascii="楷体" w:hAnsi="楷体" w:eastAsia="楷体" w:cs="楷体"/>
          <w:spacing w:val="5"/>
          <w:sz w:val="32"/>
          <w:szCs w:val="32"/>
        </w:rPr>
        <w:t>市民政局</w:t>
      </w:r>
      <w:r>
        <w:rPr>
          <w:rFonts w:ascii="楷体" w:hAnsi="楷体" w:eastAsia="楷体" w:cs="楷体"/>
          <w:spacing w:val="6"/>
          <w:sz w:val="32"/>
          <w:szCs w:val="32"/>
        </w:rPr>
        <w:t>、</w:t>
      </w:r>
      <w:r>
        <w:rPr>
          <w:rFonts w:ascii="楷体" w:hAnsi="楷体" w:eastAsia="楷体" w:cs="楷体"/>
          <w:spacing w:val="5"/>
          <w:sz w:val="32"/>
          <w:szCs w:val="32"/>
        </w:rPr>
        <w:t>市财</w:t>
      </w:r>
      <w:r>
        <w:rPr>
          <w:rFonts w:ascii="楷体" w:hAnsi="楷体" w:eastAsia="楷体" w:cs="楷体"/>
          <w:spacing w:val="4"/>
          <w:sz w:val="32"/>
          <w:szCs w:val="32"/>
        </w:rPr>
        <w:t>政局、市农业农村局、市医保局</w:t>
      </w:r>
      <w:r>
        <w:rPr>
          <w:rFonts w:hint="eastAsia" w:ascii="楷体" w:hAnsi="楷体" w:eastAsia="楷体" w:cs="楷体"/>
          <w:spacing w:val="4"/>
          <w:sz w:val="32"/>
          <w:szCs w:val="32"/>
          <w:lang w:eastAsia="zh-CN"/>
        </w:rPr>
        <w:t>、</w:t>
      </w:r>
      <w:r>
        <w:rPr>
          <w:rFonts w:ascii="楷体" w:hAnsi="楷体" w:eastAsia="楷体" w:cs="楷体"/>
          <w:spacing w:val="3"/>
          <w:sz w:val="32"/>
          <w:szCs w:val="32"/>
        </w:rPr>
        <w:t>各</w:t>
      </w:r>
      <w:r>
        <w:rPr>
          <w:rFonts w:hint="eastAsia" w:ascii="楷体" w:hAnsi="楷体" w:eastAsia="楷体" w:cs="楷体"/>
          <w:spacing w:val="3"/>
          <w:sz w:val="32"/>
          <w:szCs w:val="32"/>
        </w:rPr>
        <w:t>乡镇</w:t>
      </w:r>
      <w:r>
        <w:rPr>
          <w:rFonts w:hint="eastAsia" w:ascii="楷体" w:hAnsi="楷体" w:eastAsia="楷体" w:cs="楷体"/>
          <w:spacing w:val="3"/>
          <w:sz w:val="32"/>
          <w:szCs w:val="32"/>
          <w:lang w:val="en-US" w:eastAsia="zh-CN"/>
        </w:rPr>
        <w:t>街道</w:t>
      </w:r>
      <w:r>
        <w:rPr>
          <w:rFonts w:ascii="楷体" w:hAnsi="楷体" w:eastAsia="楷体" w:cs="楷体"/>
          <w:spacing w:val="4"/>
          <w:sz w:val="32"/>
          <w:szCs w:val="32"/>
        </w:rPr>
        <w:t>）</w:t>
      </w:r>
    </w:p>
    <w:p>
      <w:pPr>
        <w:pStyle w:val="3"/>
        <w:keepNext w:val="0"/>
        <w:keepLines w:val="0"/>
        <w:pageBreakBefore w:val="0"/>
        <w:wordWrap/>
        <w:overflowPunct/>
        <w:topLinePunct w:val="0"/>
        <w:bidi w:val="0"/>
        <w:spacing w:after="0" w:line="560" w:lineRule="exact"/>
        <w:ind w:firstLine="619" w:firstLineChars="200"/>
        <w:rPr>
          <w:rFonts w:ascii="楷体" w:hAnsi="楷体" w:eastAsia="楷体" w:cs="楷体"/>
          <w:color w:val="0000FF"/>
          <w:sz w:val="32"/>
          <w:szCs w:val="32"/>
        </w:rPr>
      </w:pPr>
      <w:r>
        <w:rPr>
          <w:rFonts w:hint="eastAsia" w:ascii="仿宋_GB2312" w:hAnsi="仿宋_GB2312" w:eastAsia="仿宋_GB2312" w:cs="仿宋_GB2312"/>
          <w:b/>
          <w:bCs/>
          <w:spacing w:val="-6"/>
          <w:kern w:val="2"/>
          <w:sz w:val="32"/>
          <w:szCs w:val="32"/>
          <w:lang w:val="en-US" w:eastAsia="zh-CN" w:bidi="ar-SA"/>
        </w:rPr>
        <w:t>2.实施重大疾病综合防控。</w:t>
      </w:r>
      <w:r>
        <w:rPr>
          <w:rFonts w:hint="eastAsia" w:ascii="仿宋_GB2312" w:hAnsi="仿宋_GB2312" w:eastAsia="仿宋_GB2312" w:cs="仿宋_GB2312"/>
          <w:spacing w:val="-6"/>
          <w:kern w:val="2"/>
          <w:sz w:val="32"/>
          <w:szCs w:val="32"/>
          <w:lang w:val="en-US" w:eastAsia="zh-CN" w:bidi="ar-SA"/>
        </w:rPr>
        <w:t>坚持预防为主、防治结合、群防群控，聚焦全周期健康管理，建立完善困难群众健康管理档案，实施分类管理，增强服务的针对性和有效性。在参保城乡居民健康体检工作中优先组织困难群众体检，65周岁及以上的对象每年开展1次，其他困难对象每两年开展1次，鼓励乡镇卫生院提供优质体检套餐，提高困难群众健康水平。深入实施农村妇女宫颈癌、乳腺癌和免费孕前优生健康坚持因病施策，切实做好慢性病监测预警、预防控制。本市户籍已经参加我市城乡居民医疗保险并纳入社区责任医生管理的高血压和Ⅱ型糖尿病患者，凭身份证及市民卡到定点医疗机构刷卡后领取指定的抗高血压药、降血糖药等基本药物。深入实施农村妇女宫颈癌、乳腺癌和免费孕前优生健康检查项目，在困难人群中优先开展结直肠癌、胃癌、肺功能、农村癫痫等免费筛查，老年人流感疫苗免费接种，提高重点人群健康保障水平。</w:t>
      </w:r>
      <w:r>
        <w:rPr>
          <w:rFonts w:ascii="楷体" w:hAnsi="楷体" w:eastAsia="楷体" w:cs="楷体"/>
          <w:color w:val="000000" w:themeColor="text1"/>
          <w:sz w:val="32"/>
          <w:szCs w:val="32"/>
          <w14:textFill>
            <w14:solidFill>
              <w14:schemeClr w14:val="tx1"/>
            </w14:solidFill>
          </w14:textFill>
        </w:rPr>
        <w:t>（牵</w:t>
      </w:r>
      <w:r>
        <w:rPr>
          <w:rFonts w:ascii="楷体" w:hAnsi="楷体" w:eastAsia="楷体" w:cs="楷体"/>
          <w:sz w:val="32"/>
          <w:szCs w:val="32"/>
        </w:rPr>
        <w:t>头单位：市</w:t>
      </w:r>
      <w:r>
        <w:rPr>
          <w:rFonts w:hint="eastAsia" w:ascii="楷体" w:hAnsi="楷体" w:eastAsia="楷体" w:cs="楷体"/>
          <w:sz w:val="32"/>
          <w:szCs w:val="32"/>
        </w:rPr>
        <w:t>卫健局</w:t>
      </w:r>
      <w:r>
        <w:rPr>
          <w:rFonts w:ascii="楷体" w:hAnsi="楷体" w:eastAsia="楷体" w:cs="楷体"/>
          <w:sz w:val="32"/>
          <w:szCs w:val="32"/>
        </w:rPr>
        <w:t>；责任单位：市财政局、市妇联）</w:t>
      </w:r>
    </w:p>
    <w:p>
      <w:pPr>
        <w:keepNext w:val="0"/>
        <w:keepLines w:val="0"/>
        <w:pageBreakBefore w:val="0"/>
        <w:wordWrap/>
        <w:overflowPunct/>
        <w:topLinePunct w:val="0"/>
        <w:bidi w:val="0"/>
        <w:spacing w:line="560" w:lineRule="exact"/>
        <w:ind w:left="5" w:firstLine="619" w:firstLineChars="200"/>
        <w:rPr>
          <w:rFonts w:ascii="楷体" w:hAnsi="楷体" w:eastAsia="楷体" w:cs="楷体"/>
          <w:color w:val="C00000"/>
          <w:sz w:val="32"/>
          <w:szCs w:val="32"/>
        </w:rPr>
      </w:pPr>
      <w:r>
        <w:rPr>
          <w:rFonts w:hint="eastAsia" w:ascii="仿宋_GB2312" w:hAnsi="仿宋_GB2312" w:eastAsia="仿宋_GB2312" w:cs="仿宋_GB2312"/>
          <w:b/>
          <w:bCs/>
          <w:spacing w:val="-6"/>
          <w:kern w:val="2"/>
          <w:sz w:val="32"/>
          <w:szCs w:val="32"/>
          <w:lang w:val="en-US" w:eastAsia="zh-CN" w:bidi="ar-SA"/>
        </w:rPr>
        <w:t>3.加强风险预警监测。</w:t>
      </w:r>
      <w:r>
        <w:rPr>
          <w:rFonts w:hint="eastAsia" w:ascii="仿宋_GB2312" w:hAnsi="仿宋_GB2312" w:eastAsia="仿宋_GB2312" w:cs="仿宋_GB2312"/>
          <w:spacing w:val="-6"/>
          <w:kern w:val="2"/>
          <w:sz w:val="32"/>
          <w:szCs w:val="32"/>
          <w:lang w:val="en-US" w:eastAsia="zh-CN" w:bidi="ar-SA"/>
        </w:rPr>
        <w:t>充分运用乡镇（街道）、村（社区）网格化管理等工作方法，有效掌握本辖区困难群众疾病发生、治疗和费用负担情况，及早发现因病致贫返贫风险。</w:t>
      </w:r>
      <w:r>
        <w:rPr>
          <w:rFonts w:ascii="仿宋" w:hAnsi="仿宋" w:eastAsia="仿宋" w:cs="仿宋"/>
          <w:spacing w:val="5"/>
          <w:sz w:val="32"/>
          <w:szCs w:val="32"/>
        </w:rPr>
        <w:t>（</w:t>
      </w:r>
      <w:r>
        <w:rPr>
          <w:rFonts w:ascii="楷体" w:hAnsi="楷体" w:eastAsia="楷体" w:cs="楷体"/>
          <w:spacing w:val="5"/>
          <w:sz w:val="32"/>
          <w:szCs w:val="32"/>
        </w:rPr>
        <w:t>责任单位</w:t>
      </w:r>
      <w:r>
        <w:rPr>
          <w:rFonts w:ascii="楷体" w:hAnsi="楷体" w:eastAsia="楷体" w:cs="楷体"/>
          <w:spacing w:val="6"/>
          <w:sz w:val="32"/>
          <w:szCs w:val="32"/>
        </w:rPr>
        <w:t>：</w:t>
      </w:r>
      <w:r>
        <w:rPr>
          <w:rFonts w:ascii="楷体" w:hAnsi="楷体" w:eastAsia="楷体" w:cs="楷体"/>
          <w:spacing w:val="5"/>
          <w:sz w:val="32"/>
          <w:szCs w:val="32"/>
        </w:rPr>
        <w:t>各</w:t>
      </w:r>
      <w:r>
        <w:rPr>
          <w:rFonts w:hint="eastAsia" w:ascii="楷体" w:hAnsi="楷体" w:eastAsia="楷体" w:cs="楷体"/>
          <w:spacing w:val="5"/>
          <w:sz w:val="32"/>
          <w:szCs w:val="32"/>
        </w:rPr>
        <w:t>乡镇</w:t>
      </w:r>
      <w:r>
        <w:rPr>
          <w:rFonts w:hint="eastAsia" w:ascii="楷体" w:hAnsi="楷体" w:eastAsia="楷体" w:cs="楷体"/>
          <w:spacing w:val="5"/>
          <w:sz w:val="32"/>
          <w:szCs w:val="32"/>
          <w:lang w:eastAsia="zh-CN"/>
        </w:rPr>
        <w:t>街道</w:t>
      </w:r>
      <w:r>
        <w:rPr>
          <w:rFonts w:ascii="仿宋" w:hAnsi="仿宋" w:eastAsia="仿宋" w:cs="仿宋"/>
          <w:spacing w:val="7"/>
          <w:sz w:val="32"/>
          <w:szCs w:val="32"/>
        </w:rPr>
        <w:t>）。</w:t>
      </w:r>
      <w:r>
        <w:rPr>
          <w:rFonts w:hint="eastAsia" w:ascii="仿宋_GB2312" w:hAnsi="仿宋_GB2312" w:eastAsia="仿宋_GB2312" w:cs="仿宋_GB2312"/>
          <w:spacing w:val="-6"/>
          <w:kern w:val="2"/>
          <w:sz w:val="32"/>
          <w:szCs w:val="32"/>
          <w:lang w:val="en-US" w:eastAsia="zh-CN" w:bidi="ar-SA"/>
        </w:rPr>
        <w:t>整合医保、民政、卫健、残联等单位数据，推进困难群众“医疗救助一件事”改革，探索建立主动发现、动态监测、信息共享、精准帮扶机制，做到早发现、早干预、早帮扶。</w:t>
      </w:r>
      <w:r>
        <w:rPr>
          <w:rFonts w:ascii="楷体" w:hAnsi="楷体" w:eastAsia="楷体" w:cs="楷体"/>
          <w:color w:val="000000" w:themeColor="text1"/>
          <w:spacing w:val="6"/>
          <w:sz w:val="32"/>
          <w:szCs w:val="32"/>
          <w14:textFill>
            <w14:solidFill>
              <w14:schemeClr w14:val="tx1"/>
            </w14:solidFill>
          </w14:textFill>
        </w:rPr>
        <w:t>（牵头单位</w:t>
      </w:r>
      <w:r>
        <w:rPr>
          <w:rFonts w:ascii="楷体" w:hAnsi="楷体" w:eastAsia="楷体" w:cs="楷体"/>
          <w:color w:val="000000" w:themeColor="text1"/>
          <w:spacing w:val="8"/>
          <w:sz w:val="32"/>
          <w:szCs w:val="32"/>
          <w14:textFill>
            <w14:solidFill>
              <w14:schemeClr w14:val="tx1"/>
            </w14:solidFill>
          </w14:textFill>
        </w:rPr>
        <w:t>：</w:t>
      </w:r>
      <w:r>
        <w:rPr>
          <w:rFonts w:ascii="楷体" w:hAnsi="楷体" w:eastAsia="楷体" w:cs="楷体"/>
          <w:color w:val="000000" w:themeColor="text1"/>
          <w:spacing w:val="5"/>
          <w:sz w:val="32"/>
          <w:szCs w:val="32"/>
          <w14:textFill>
            <w14:solidFill>
              <w14:schemeClr w14:val="tx1"/>
            </w14:solidFill>
          </w14:textFill>
        </w:rPr>
        <w:t>市医保局</w:t>
      </w:r>
      <w:r>
        <w:rPr>
          <w:rFonts w:ascii="楷体" w:hAnsi="楷体" w:eastAsia="楷体" w:cs="楷体"/>
          <w:color w:val="000000" w:themeColor="text1"/>
          <w:spacing w:val="8"/>
          <w:sz w:val="32"/>
          <w:szCs w:val="32"/>
          <w14:textFill>
            <w14:solidFill>
              <w14:schemeClr w14:val="tx1"/>
            </w14:solidFill>
          </w14:textFill>
        </w:rPr>
        <w:t>；</w:t>
      </w:r>
      <w:r>
        <w:rPr>
          <w:rFonts w:ascii="楷体" w:hAnsi="楷体" w:eastAsia="楷体" w:cs="楷体"/>
          <w:color w:val="000000" w:themeColor="text1"/>
          <w:spacing w:val="5"/>
          <w:sz w:val="32"/>
          <w:szCs w:val="32"/>
          <w14:textFill>
            <w14:solidFill>
              <w14:schemeClr w14:val="tx1"/>
            </w14:solidFill>
          </w14:textFill>
        </w:rPr>
        <w:t>责任单位</w:t>
      </w:r>
      <w:r>
        <w:rPr>
          <w:rFonts w:ascii="楷体" w:hAnsi="楷体" w:eastAsia="楷体" w:cs="楷体"/>
          <w:color w:val="000000" w:themeColor="text1"/>
          <w:spacing w:val="8"/>
          <w:sz w:val="32"/>
          <w:szCs w:val="32"/>
          <w14:textFill>
            <w14:solidFill>
              <w14:schemeClr w14:val="tx1"/>
            </w14:solidFill>
          </w14:textFill>
        </w:rPr>
        <w:t>：</w:t>
      </w:r>
      <w:r>
        <w:rPr>
          <w:rFonts w:ascii="楷体" w:hAnsi="楷体" w:eastAsia="楷体" w:cs="楷体"/>
          <w:color w:val="000000" w:themeColor="text1"/>
          <w:spacing w:val="5"/>
          <w:sz w:val="32"/>
          <w:szCs w:val="32"/>
          <w14:textFill>
            <w14:solidFill>
              <w14:schemeClr w14:val="tx1"/>
            </w14:solidFill>
          </w14:textFill>
        </w:rPr>
        <w:t>市民政局</w:t>
      </w:r>
      <w:r>
        <w:rPr>
          <w:rFonts w:ascii="楷体" w:hAnsi="楷体" w:eastAsia="楷体" w:cs="楷体"/>
          <w:color w:val="000000" w:themeColor="text1"/>
          <w:spacing w:val="8"/>
          <w:sz w:val="32"/>
          <w:szCs w:val="32"/>
          <w14:textFill>
            <w14:solidFill>
              <w14:schemeClr w14:val="tx1"/>
            </w14:solidFill>
          </w14:textFill>
        </w:rPr>
        <w:t>、</w:t>
      </w:r>
      <w:r>
        <w:rPr>
          <w:rFonts w:ascii="楷体" w:hAnsi="楷体" w:eastAsia="楷体" w:cs="楷体"/>
          <w:color w:val="000000" w:themeColor="text1"/>
          <w:spacing w:val="5"/>
          <w:sz w:val="32"/>
          <w:szCs w:val="32"/>
          <w14:textFill>
            <w14:solidFill>
              <w14:schemeClr w14:val="tx1"/>
            </w14:solidFill>
          </w14:textFill>
        </w:rPr>
        <w:t>市农业</w:t>
      </w:r>
      <w:r>
        <w:rPr>
          <w:rFonts w:ascii="楷体" w:hAnsi="楷体" w:eastAsia="楷体" w:cs="楷体"/>
          <w:color w:val="000000" w:themeColor="text1"/>
          <w:spacing w:val="9"/>
          <w:sz w:val="32"/>
          <w:szCs w:val="32"/>
          <w14:textFill>
            <w14:solidFill>
              <w14:schemeClr w14:val="tx1"/>
            </w14:solidFill>
          </w14:textFill>
        </w:rPr>
        <w:t>农村局</w:t>
      </w:r>
      <w:r>
        <w:rPr>
          <w:rFonts w:ascii="楷体" w:hAnsi="楷体" w:eastAsia="楷体" w:cs="楷体"/>
          <w:color w:val="000000" w:themeColor="text1"/>
          <w:spacing w:val="11"/>
          <w:sz w:val="32"/>
          <w:szCs w:val="32"/>
          <w14:textFill>
            <w14:solidFill>
              <w14:schemeClr w14:val="tx1"/>
            </w14:solidFill>
          </w14:textFill>
        </w:rPr>
        <w:t>、</w:t>
      </w:r>
      <w:r>
        <w:rPr>
          <w:rFonts w:ascii="楷体" w:hAnsi="楷体" w:eastAsia="楷体" w:cs="楷体"/>
          <w:color w:val="000000" w:themeColor="text1"/>
          <w:spacing w:val="9"/>
          <w:sz w:val="32"/>
          <w:szCs w:val="32"/>
          <w14:textFill>
            <w14:solidFill>
              <w14:schemeClr w14:val="tx1"/>
            </w14:solidFill>
          </w14:textFill>
        </w:rPr>
        <w:t>市</w:t>
      </w:r>
      <w:r>
        <w:rPr>
          <w:rFonts w:hint="eastAsia" w:ascii="楷体" w:hAnsi="楷体" w:eastAsia="楷体" w:cs="楷体"/>
          <w:color w:val="000000" w:themeColor="text1"/>
          <w:spacing w:val="9"/>
          <w:sz w:val="32"/>
          <w:szCs w:val="32"/>
          <w14:textFill>
            <w14:solidFill>
              <w14:schemeClr w14:val="tx1"/>
            </w14:solidFill>
          </w14:textFill>
        </w:rPr>
        <w:t>卫健局</w:t>
      </w:r>
      <w:r>
        <w:rPr>
          <w:rFonts w:ascii="楷体" w:hAnsi="楷体" w:eastAsia="楷体" w:cs="楷体"/>
          <w:color w:val="000000" w:themeColor="text1"/>
          <w:spacing w:val="11"/>
          <w:sz w:val="32"/>
          <w:szCs w:val="32"/>
          <w14:textFill>
            <w14:solidFill>
              <w14:schemeClr w14:val="tx1"/>
            </w14:solidFill>
          </w14:textFill>
        </w:rPr>
        <w:t>、</w:t>
      </w:r>
      <w:r>
        <w:rPr>
          <w:rFonts w:ascii="楷体" w:hAnsi="楷体" w:eastAsia="楷体" w:cs="楷体"/>
          <w:color w:val="000000" w:themeColor="text1"/>
          <w:spacing w:val="9"/>
          <w:sz w:val="32"/>
          <w:szCs w:val="32"/>
          <w14:textFill>
            <w14:solidFill>
              <w14:schemeClr w14:val="tx1"/>
            </w14:solidFill>
          </w14:textFill>
        </w:rPr>
        <w:t>市退役军人事务局</w:t>
      </w:r>
      <w:r>
        <w:rPr>
          <w:rFonts w:ascii="楷体" w:hAnsi="楷体" w:eastAsia="楷体" w:cs="楷体"/>
          <w:color w:val="000000" w:themeColor="text1"/>
          <w:spacing w:val="11"/>
          <w:sz w:val="32"/>
          <w:szCs w:val="32"/>
          <w14:textFill>
            <w14:solidFill>
              <w14:schemeClr w14:val="tx1"/>
            </w14:solidFill>
          </w14:textFill>
        </w:rPr>
        <w:t>、</w:t>
      </w:r>
      <w:r>
        <w:rPr>
          <w:rFonts w:ascii="楷体" w:hAnsi="楷体" w:eastAsia="楷体" w:cs="楷体"/>
          <w:color w:val="000000" w:themeColor="text1"/>
          <w:spacing w:val="9"/>
          <w:sz w:val="32"/>
          <w:szCs w:val="32"/>
          <w14:textFill>
            <w14:solidFill>
              <w14:schemeClr w14:val="tx1"/>
            </w14:solidFill>
          </w14:textFill>
        </w:rPr>
        <w:t>市大</w:t>
      </w:r>
      <w:r>
        <w:rPr>
          <w:rFonts w:ascii="楷体" w:hAnsi="楷体" w:eastAsia="楷体" w:cs="楷体"/>
          <w:color w:val="000000" w:themeColor="text1"/>
          <w:spacing w:val="8"/>
          <w:sz w:val="32"/>
          <w:szCs w:val="32"/>
          <w14:textFill>
            <w14:solidFill>
              <w14:schemeClr w14:val="tx1"/>
            </w14:solidFill>
          </w14:textFill>
        </w:rPr>
        <w:t>数据局</w:t>
      </w:r>
      <w:r>
        <w:rPr>
          <w:rFonts w:ascii="楷体" w:hAnsi="楷体" w:eastAsia="楷体" w:cs="楷体"/>
          <w:color w:val="000000" w:themeColor="text1"/>
          <w:spacing w:val="11"/>
          <w:sz w:val="32"/>
          <w:szCs w:val="32"/>
          <w14:textFill>
            <w14:solidFill>
              <w14:schemeClr w14:val="tx1"/>
            </w14:solidFill>
          </w14:textFill>
        </w:rPr>
        <w:t>、</w:t>
      </w:r>
      <w:r>
        <w:rPr>
          <w:rFonts w:ascii="楷体" w:hAnsi="楷体" w:eastAsia="楷体" w:cs="楷体"/>
          <w:color w:val="000000" w:themeColor="text1"/>
          <w:spacing w:val="8"/>
          <w:sz w:val="32"/>
          <w:szCs w:val="32"/>
          <w14:textFill>
            <w14:solidFill>
              <w14:schemeClr w14:val="tx1"/>
            </w14:solidFill>
          </w14:textFill>
        </w:rPr>
        <w:t>市残联</w:t>
      </w:r>
      <w:r>
        <w:rPr>
          <w:rFonts w:hint="eastAsia" w:ascii="楷体" w:hAnsi="楷体" w:eastAsia="楷体" w:cs="楷体"/>
          <w:color w:val="000000" w:themeColor="text1"/>
          <w:spacing w:val="8"/>
          <w:sz w:val="32"/>
          <w:szCs w:val="32"/>
          <w14:textFill>
            <w14:solidFill>
              <w14:schemeClr w14:val="tx1"/>
            </w14:solidFill>
          </w14:textFill>
        </w:rPr>
        <w:t>、市慈善总会、</w:t>
      </w:r>
      <w:r>
        <w:rPr>
          <w:rFonts w:hint="eastAsia" w:ascii="楷体" w:hAnsi="楷体" w:eastAsia="楷体" w:cs="楷体"/>
          <w:color w:val="000000" w:themeColor="text1"/>
          <w:spacing w:val="9"/>
          <w:sz w:val="32"/>
          <w:szCs w:val="32"/>
          <w14:textFill>
            <w14:solidFill>
              <w14:schemeClr w14:val="tx1"/>
            </w14:solidFill>
          </w14:textFill>
        </w:rPr>
        <w:t>各</w:t>
      </w:r>
      <w:r>
        <w:rPr>
          <w:rFonts w:hint="eastAsia" w:ascii="楷体" w:hAnsi="楷体" w:eastAsia="楷体" w:cs="楷体"/>
          <w:spacing w:val="9"/>
          <w:sz w:val="32"/>
          <w:szCs w:val="32"/>
        </w:rPr>
        <w:t>乡镇</w:t>
      </w:r>
      <w:r>
        <w:rPr>
          <w:rFonts w:hint="eastAsia" w:ascii="楷体" w:hAnsi="楷体" w:eastAsia="楷体" w:cs="楷体"/>
          <w:spacing w:val="9"/>
          <w:sz w:val="32"/>
          <w:szCs w:val="32"/>
          <w:lang w:eastAsia="zh-CN"/>
        </w:rPr>
        <w:t>街道</w:t>
      </w:r>
      <w:r>
        <w:rPr>
          <w:rFonts w:ascii="楷体" w:hAnsi="楷体" w:eastAsia="楷体" w:cs="楷体"/>
          <w:sz w:val="32"/>
          <w:szCs w:val="32"/>
        </w:rPr>
        <w:t>）</w:t>
      </w:r>
    </w:p>
    <w:p>
      <w:pPr>
        <w:keepNext w:val="0"/>
        <w:keepLines w:val="0"/>
        <w:pageBreakBefore w:val="0"/>
        <w:wordWrap/>
        <w:overflowPunct/>
        <w:topLinePunct w:val="0"/>
        <w:bidi w:val="0"/>
        <w:spacing w:line="560" w:lineRule="exact"/>
        <w:ind w:firstLine="645"/>
        <w:rPr>
          <w:rFonts w:ascii="楷体" w:hAnsi="楷体" w:eastAsia="楷体" w:cs="楷体"/>
          <w:sz w:val="32"/>
          <w:szCs w:val="32"/>
        </w:rPr>
      </w:pPr>
      <w:r>
        <w:rPr>
          <w:rFonts w:ascii="楷体" w:hAnsi="楷体" w:eastAsia="楷体" w:cs="楷体"/>
          <w:spacing w:val="10"/>
          <w:sz w:val="32"/>
          <w:szCs w:val="32"/>
        </w:rPr>
        <w:t>（二</w:t>
      </w:r>
      <w:r>
        <w:rPr>
          <w:rFonts w:ascii="楷体" w:hAnsi="楷体" w:eastAsia="楷体" w:cs="楷体"/>
          <w:spacing w:val="11"/>
          <w:sz w:val="32"/>
          <w:szCs w:val="32"/>
        </w:rPr>
        <w:t>）</w:t>
      </w:r>
      <w:r>
        <w:rPr>
          <w:rFonts w:ascii="楷体" w:hAnsi="楷体" w:eastAsia="楷体" w:cs="楷体"/>
          <w:spacing w:val="10"/>
          <w:sz w:val="32"/>
          <w:szCs w:val="32"/>
        </w:rPr>
        <w:t>引导合理</w:t>
      </w:r>
      <w:r>
        <w:rPr>
          <w:rFonts w:ascii="楷体" w:hAnsi="楷体" w:eastAsia="楷体" w:cs="楷体"/>
          <w:spacing w:val="9"/>
          <w:sz w:val="32"/>
          <w:szCs w:val="32"/>
        </w:rPr>
        <w:t>诊疗</w:t>
      </w:r>
      <w:r>
        <w:rPr>
          <w:rFonts w:ascii="楷体" w:hAnsi="楷体" w:eastAsia="楷体" w:cs="楷体"/>
          <w:spacing w:val="11"/>
          <w:sz w:val="32"/>
          <w:szCs w:val="32"/>
        </w:rPr>
        <w:t>，</w:t>
      </w:r>
      <w:r>
        <w:rPr>
          <w:rFonts w:ascii="楷体" w:hAnsi="楷体" w:eastAsia="楷体" w:cs="楷体"/>
          <w:spacing w:val="9"/>
          <w:sz w:val="32"/>
          <w:szCs w:val="32"/>
        </w:rPr>
        <w:t>降低就医成本</w:t>
      </w:r>
    </w:p>
    <w:p>
      <w:pPr>
        <w:keepNext w:val="0"/>
        <w:keepLines w:val="0"/>
        <w:pageBreakBefore w:val="0"/>
        <w:wordWrap/>
        <w:overflowPunct/>
        <w:topLinePunct w:val="0"/>
        <w:bidi w:val="0"/>
        <w:spacing w:line="560" w:lineRule="exact"/>
        <w:ind w:left="8" w:right="3" w:firstLine="637"/>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4.促进合理有序就医。</w:t>
      </w:r>
      <w:r>
        <w:rPr>
          <w:rFonts w:hint="eastAsia" w:ascii="仿宋_GB2312" w:hAnsi="仿宋_GB2312" w:eastAsia="仿宋_GB2312" w:cs="仿宋_GB2312"/>
          <w:spacing w:val="-6"/>
          <w:kern w:val="2"/>
          <w:sz w:val="32"/>
          <w:szCs w:val="32"/>
          <w:lang w:val="en-US" w:eastAsia="zh-CN" w:bidi="ar-SA"/>
        </w:rPr>
        <w:t>推进基本标准和推荐标准基层医疗机构创建工作，提高基层常见病、多发病、慢性病门诊、住院诊疗和健康服务能力，适当提高基层医疗机构报销比例，引导困难群众基层就医。全面推广智慧健康站建设，方便群众健康管理和远程医疗。推动社区卫生服务站、村卫生室应用中医药适宜技术，切实为困难群众提供合理、适宜的中医诊疗服务。鼓励在社区卫生服务中心和乡镇卫生院设置中医康复诊室或康复治疗区，探索进一步推进“家庭病床”制度，为困难群众提供定期入户巡诊和照料护理服务，确保困难群众“平时有人照应、生病有人看护”。保持基金监管高压态势，建立健全医保智能监管系统，加大对过度诊疗、虚假医疗、挂床住院等行为打击力度。</w:t>
      </w:r>
      <w:r>
        <w:rPr>
          <w:rFonts w:ascii="楷体" w:hAnsi="楷体" w:eastAsia="楷体" w:cs="楷体"/>
          <w:spacing w:val="5"/>
          <w:sz w:val="32"/>
          <w:szCs w:val="32"/>
        </w:rPr>
        <w:t>（牵头单位</w:t>
      </w:r>
      <w:r>
        <w:rPr>
          <w:rFonts w:ascii="楷体" w:hAnsi="楷体" w:eastAsia="楷体" w:cs="楷体"/>
          <w:spacing w:val="6"/>
          <w:sz w:val="32"/>
          <w:szCs w:val="32"/>
        </w:rPr>
        <w:t>：</w:t>
      </w:r>
      <w:r>
        <w:rPr>
          <w:rFonts w:ascii="楷体" w:hAnsi="楷体" w:eastAsia="楷体" w:cs="楷体"/>
          <w:spacing w:val="5"/>
          <w:sz w:val="32"/>
          <w:szCs w:val="32"/>
        </w:rPr>
        <w:t>市</w:t>
      </w:r>
      <w:r>
        <w:rPr>
          <w:rFonts w:hint="eastAsia" w:ascii="楷体" w:hAnsi="楷体" w:eastAsia="楷体" w:cs="楷体"/>
          <w:spacing w:val="5"/>
          <w:sz w:val="32"/>
          <w:szCs w:val="32"/>
        </w:rPr>
        <w:t>卫健局</w:t>
      </w:r>
      <w:r>
        <w:rPr>
          <w:rFonts w:ascii="楷体" w:hAnsi="楷体" w:eastAsia="楷体" w:cs="楷体"/>
          <w:spacing w:val="7"/>
          <w:sz w:val="32"/>
          <w:szCs w:val="32"/>
        </w:rPr>
        <w:t>；</w:t>
      </w:r>
      <w:r>
        <w:rPr>
          <w:rFonts w:ascii="楷体" w:hAnsi="楷体" w:eastAsia="楷体" w:cs="楷体"/>
          <w:spacing w:val="5"/>
          <w:sz w:val="32"/>
          <w:szCs w:val="32"/>
        </w:rPr>
        <w:t>责任单位</w:t>
      </w:r>
      <w:r>
        <w:rPr>
          <w:rFonts w:ascii="楷体" w:hAnsi="楷体" w:eastAsia="楷体" w:cs="楷体"/>
          <w:spacing w:val="6"/>
          <w:sz w:val="32"/>
          <w:szCs w:val="32"/>
        </w:rPr>
        <w:t>：</w:t>
      </w:r>
      <w:r>
        <w:rPr>
          <w:rFonts w:ascii="楷体" w:hAnsi="楷体" w:eastAsia="楷体" w:cs="楷体"/>
          <w:spacing w:val="5"/>
          <w:sz w:val="32"/>
          <w:szCs w:val="32"/>
        </w:rPr>
        <w:t>市医保局</w:t>
      </w:r>
      <w:r>
        <w:rPr>
          <w:rFonts w:ascii="楷体" w:hAnsi="楷体" w:eastAsia="楷体" w:cs="楷体"/>
          <w:spacing w:val="6"/>
          <w:sz w:val="32"/>
          <w:szCs w:val="32"/>
        </w:rPr>
        <w:t>）</w:t>
      </w:r>
    </w:p>
    <w:p>
      <w:pPr>
        <w:keepNext w:val="0"/>
        <w:keepLines w:val="0"/>
        <w:pageBreakBefore w:val="0"/>
        <w:wordWrap/>
        <w:overflowPunct/>
        <w:topLinePunct w:val="0"/>
        <w:bidi w:val="0"/>
        <w:spacing w:line="560" w:lineRule="exact"/>
        <w:ind w:left="10" w:right="118" w:firstLine="631" w:firstLineChars="204"/>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5.完善高发高额病种就医指导方案。</w:t>
      </w:r>
      <w:r>
        <w:rPr>
          <w:rFonts w:hint="eastAsia" w:ascii="仿宋_GB2312" w:hAnsi="仿宋_GB2312" w:eastAsia="仿宋_GB2312" w:cs="仿宋_GB2312"/>
          <w:spacing w:val="-6"/>
          <w:kern w:val="2"/>
          <w:sz w:val="32"/>
          <w:szCs w:val="32"/>
          <w:lang w:val="en-US" w:eastAsia="zh-CN" w:bidi="ar-SA"/>
        </w:rPr>
        <w:t>按照安全有效、经济适宜、救助基本的原则，做好困难群众就医标识，引导困难群众和定点医疗机构优先选择纳入基本医保支付范围的药品、医用耗材和诊疗项目，严控不合理费用支出。针对困难群众高发高费用的心脑血管、精神类、肾类等病种，组建医疗专家团队牵头研究，提供合理诊治方案精准施治，规范诊疗与转诊，降低困难群众医疗成本。</w:t>
      </w:r>
      <w:r>
        <w:rPr>
          <w:rFonts w:ascii="楷体" w:hAnsi="楷体" w:eastAsia="楷体" w:cs="楷体"/>
          <w:sz w:val="32"/>
          <w:szCs w:val="32"/>
        </w:rPr>
        <w:t>（牵头单位</w:t>
      </w:r>
      <w:r>
        <w:rPr>
          <w:rFonts w:ascii="楷体" w:hAnsi="楷体" w:eastAsia="楷体" w:cs="楷体"/>
          <w:spacing w:val="-1"/>
          <w:sz w:val="32"/>
          <w:szCs w:val="32"/>
        </w:rPr>
        <w:t>：</w:t>
      </w:r>
      <w:r>
        <w:rPr>
          <w:rFonts w:ascii="楷体" w:hAnsi="楷体" w:eastAsia="楷体" w:cs="楷体"/>
          <w:sz w:val="32"/>
          <w:szCs w:val="32"/>
        </w:rPr>
        <w:t>市</w:t>
      </w:r>
      <w:r>
        <w:rPr>
          <w:rFonts w:hint="eastAsia" w:ascii="楷体" w:hAnsi="楷体" w:eastAsia="楷体" w:cs="楷体"/>
          <w:sz w:val="32"/>
          <w:szCs w:val="32"/>
        </w:rPr>
        <w:t>卫健局</w:t>
      </w:r>
      <w:r>
        <w:rPr>
          <w:rFonts w:ascii="楷体" w:hAnsi="楷体" w:eastAsia="楷体" w:cs="楷体"/>
          <w:sz w:val="32"/>
          <w:szCs w:val="32"/>
        </w:rPr>
        <w:t>；责任单位：市医保局）</w:t>
      </w:r>
    </w:p>
    <w:p>
      <w:pPr>
        <w:keepNext w:val="0"/>
        <w:keepLines w:val="0"/>
        <w:pageBreakBefore w:val="0"/>
        <w:wordWrap/>
        <w:overflowPunct/>
        <w:topLinePunct w:val="0"/>
        <w:bidi w:val="0"/>
        <w:spacing w:line="560" w:lineRule="exact"/>
        <w:ind w:left="16" w:firstLine="638"/>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6.落实住院先诊疗后付费政策。</w:t>
      </w:r>
      <w:r>
        <w:rPr>
          <w:rFonts w:hint="eastAsia" w:ascii="仿宋_GB2312" w:hAnsi="仿宋_GB2312" w:eastAsia="仿宋_GB2312" w:cs="仿宋_GB2312"/>
          <w:spacing w:val="-6"/>
          <w:kern w:val="2"/>
          <w:sz w:val="32"/>
          <w:szCs w:val="32"/>
          <w:lang w:val="en-US" w:eastAsia="zh-CN" w:bidi="ar-SA"/>
        </w:rPr>
        <w:t>经基层首诊转诊的困难群众在市域内定点医疗机构住院，实行先诊疗后付费，全面免除其住院押金，出院时只需支付医保报销后的自负医疗费用。深化医保数字化改革，推进基本医疗保险、大病保险、医疗救助等省域内“一站式”结算。</w:t>
      </w:r>
      <w:r>
        <w:rPr>
          <w:rFonts w:ascii="楷体" w:hAnsi="楷体" w:eastAsia="楷体" w:cs="楷体"/>
          <w:sz w:val="32"/>
          <w:szCs w:val="32"/>
        </w:rPr>
        <w:t>（牵头单位</w:t>
      </w:r>
      <w:r>
        <w:rPr>
          <w:rFonts w:ascii="楷体" w:hAnsi="楷体" w:eastAsia="楷体" w:cs="楷体"/>
          <w:spacing w:val="-2"/>
          <w:sz w:val="32"/>
          <w:szCs w:val="32"/>
        </w:rPr>
        <w:t>：</w:t>
      </w:r>
      <w:r>
        <w:rPr>
          <w:rFonts w:ascii="楷体" w:hAnsi="楷体" w:eastAsia="楷体" w:cs="楷体"/>
          <w:sz w:val="32"/>
          <w:szCs w:val="32"/>
        </w:rPr>
        <w:t>市</w:t>
      </w:r>
      <w:r>
        <w:rPr>
          <w:rFonts w:hint="eastAsia" w:ascii="楷体" w:hAnsi="楷体" w:eastAsia="楷体" w:cs="楷体"/>
          <w:sz w:val="32"/>
          <w:szCs w:val="32"/>
        </w:rPr>
        <w:t>卫健局</w:t>
      </w:r>
      <w:r>
        <w:rPr>
          <w:rFonts w:ascii="楷体" w:hAnsi="楷体" w:eastAsia="楷体" w:cs="楷体"/>
          <w:spacing w:val="-1"/>
          <w:sz w:val="32"/>
          <w:szCs w:val="32"/>
        </w:rPr>
        <w:t>；</w:t>
      </w:r>
      <w:r>
        <w:rPr>
          <w:rFonts w:ascii="楷体" w:hAnsi="楷体" w:eastAsia="楷体" w:cs="楷体"/>
          <w:sz w:val="32"/>
          <w:szCs w:val="32"/>
        </w:rPr>
        <w:t>责任单位</w:t>
      </w:r>
      <w:r>
        <w:rPr>
          <w:rFonts w:ascii="楷体" w:hAnsi="楷体" w:eastAsia="楷体" w:cs="楷体"/>
          <w:spacing w:val="-1"/>
          <w:sz w:val="32"/>
          <w:szCs w:val="32"/>
        </w:rPr>
        <w:t>：</w:t>
      </w:r>
      <w:r>
        <w:rPr>
          <w:rFonts w:ascii="楷体" w:hAnsi="楷体" w:eastAsia="楷体" w:cs="楷体"/>
          <w:sz w:val="32"/>
          <w:szCs w:val="32"/>
        </w:rPr>
        <w:t>市医保局</w:t>
      </w:r>
      <w:r>
        <w:rPr>
          <w:rFonts w:ascii="楷体" w:hAnsi="楷体" w:eastAsia="楷体" w:cs="楷体"/>
          <w:spacing w:val="-1"/>
          <w:sz w:val="32"/>
          <w:szCs w:val="32"/>
        </w:rPr>
        <w:t>）</w:t>
      </w:r>
    </w:p>
    <w:p>
      <w:pPr>
        <w:keepNext w:val="0"/>
        <w:keepLines w:val="0"/>
        <w:pageBreakBefore w:val="0"/>
        <w:wordWrap/>
        <w:overflowPunct/>
        <w:topLinePunct w:val="0"/>
        <w:bidi w:val="0"/>
        <w:spacing w:line="560" w:lineRule="exact"/>
        <w:ind w:left="11" w:right="154" w:firstLine="641"/>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7.切实降低医药服务成本。</w:t>
      </w:r>
      <w:r>
        <w:rPr>
          <w:rFonts w:hint="eastAsia" w:ascii="仿宋_GB2312" w:hAnsi="仿宋_GB2312" w:eastAsia="仿宋_GB2312" w:cs="仿宋_GB2312"/>
          <w:spacing w:val="-6"/>
          <w:kern w:val="2"/>
          <w:sz w:val="32"/>
          <w:szCs w:val="32"/>
          <w:lang w:val="en-US" w:eastAsia="zh-CN" w:bidi="ar-SA"/>
        </w:rPr>
        <w:t>持续推进医保支付方式改革，深化“药价保”联动改革，引导医疗机构优先采购集中带量采购中选产品。严格规范医疗机构诊疗行为，合理控制医保目录外费用占比，探索将困难群众自费费用最高占比纳入协议管理范围。积极推进医疗机构间医学影像检查资料和医学检验结果互认共享工作。</w:t>
      </w:r>
      <w:r>
        <w:rPr>
          <w:rFonts w:ascii="楷体" w:hAnsi="楷体" w:eastAsia="楷体" w:cs="楷体"/>
          <w:sz w:val="32"/>
          <w:szCs w:val="32"/>
        </w:rPr>
        <w:t>（牵头单位：市医保局；责任单位：市</w:t>
      </w:r>
      <w:r>
        <w:rPr>
          <w:rFonts w:hint="eastAsia" w:ascii="楷体" w:hAnsi="楷体" w:eastAsia="楷体" w:cs="楷体"/>
          <w:sz w:val="32"/>
          <w:szCs w:val="32"/>
        </w:rPr>
        <w:t>卫健局</w:t>
      </w:r>
      <w:r>
        <w:rPr>
          <w:rFonts w:ascii="楷体" w:hAnsi="楷体" w:eastAsia="楷体" w:cs="楷体"/>
          <w:sz w:val="32"/>
          <w:szCs w:val="32"/>
        </w:rPr>
        <w:t>）</w:t>
      </w:r>
    </w:p>
    <w:p>
      <w:pPr>
        <w:keepNext w:val="0"/>
        <w:keepLines w:val="0"/>
        <w:pageBreakBefore w:val="0"/>
        <w:wordWrap/>
        <w:overflowPunct/>
        <w:topLinePunct w:val="0"/>
        <w:bidi w:val="0"/>
        <w:spacing w:line="560" w:lineRule="exact"/>
        <w:ind w:firstLine="645"/>
        <w:rPr>
          <w:rFonts w:ascii="楷体" w:hAnsi="楷体" w:eastAsia="楷体" w:cs="楷体"/>
          <w:sz w:val="32"/>
          <w:szCs w:val="32"/>
        </w:rPr>
      </w:pPr>
      <w:r>
        <w:rPr>
          <w:rFonts w:ascii="楷体" w:hAnsi="楷体" w:eastAsia="楷体" w:cs="楷体"/>
          <w:sz w:val="32"/>
          <w:szCs w:val="32"/>
        </w:rPr>
        <w:t>（三）实施综合保障，实现精准救助</w:t>
      </w:r>
    </w:p>
    <w:p>
      <w:pPr>
        <w:keepNext w:val="0"/>
        <w:keepLines w:val="0"/>
        <w:pageBreakBefore w:val="0"/>
        <w:wordWrap/>
        <w:overflowPunct/>
        <w:topLinePunct w:val="0"/>
        <w:bidi w:val="0"/>
        <w:spacing w:line="560" w:lineRule="exact"/>
        <w:ind w:left="10" w:right="153" w:firstLine="650"/>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8.确保困难群众应保尽保。</w:t>
      </w:r>
      <w:r>
        <w:rPr>
          <w:rFonts w:hint="eastAsia" w:ascii="仿宋_GB2312" w:hAnsi="仿宋_GB2312" w:eastAsia="仿宋_GB2312" w:cs="仿宋_GB2312"/>
          <w:spacing w:val="-6"/>
          <w:kern w:val="2"/>
          <w:sz w:val="32"/>
          <w:szCs w:val="32"/>
          <w:lang w:val="en-US" w:eastAsia="zh-CN" w:bidi="ar-SA"/>
        </w:rPr>
        <w:t>全面落实困难群众居民医保参保财政补助政策，个人缴费部分由政府予以全额补助，确保困难群众资助参保100%。新增救助对象，当月参保，次月生效；医疗救助退出对象，当年参保继续有效，次年不再资助参保。对民政部门认定渐退期的低保和低保边缘对象，继续资助参保。</w:t>
      </w:r>
      <w:r>
        <w:rPr>
          <w:rFonts w:ascii="楷体" w:hAnsi="楷体" w:eastAsia="楷体" w:cs="楷体"/>
          <w:spacing w:val="5"/>
          <w:sz w:val="32"/>
          <w:szCs w:val="32"/>
        </w:rPr>
        <w:t>（牵头</w:t>
      </w:r>
      <w:r>
        <w:rPr>
          <w:rFonts w:ascii="楷体" w:hAnsi="楷体" w:eastAsia="楷体" w:cs="楷体"/>
          <w:spacing w:val="6"/>
          <w:sz w:val="32"/>
          <w:szCs w:val="32"/>
        </w:rPr>
        <w:t>单位</w:t>
      </w:r>
      <w:r>
        <w:rPr>
          <w:rFonts w:ascii="楷体" w:hAnsi="楷体" w:eastAsia="楷体" w:cs="楷体"/>
          <w:spacing w:val="7"/>
          <w:sz w:val="32"/>
          <w:szCs w:val="32"/>
        </w:rPr>
        <w:t>：</w:t>
      </w:r>
      <w:r>
        <w:rPr>
          <w:rFonts w:ascii="楷体" w:hAnsi="楷体" w:eastAsia="楷体" w:cs="楷体"/>
          <w:spacing w:val="6"/>
          <w:sz w:val="32"/>
          <w:szCs w:val="32"/>
        </w:rPr>
        <w:t>市</w:t>
      </w:r>
      <w:r>
        <w:rPr>
          <w:rFonts w:ascii="楷体" w:hAnsi="楷体" w:eastAsia="楷体" w:cs="楷体"/>
          <w:spacing w:val="5"/>
          <w:sz w:val="32"/>
          <w:szCs w:val="32"/>
        </w:rPr>
        <w:t>医保局</w:t>
      </w:r>
      <w:r>
        <w:rPr>
          <w:rFonts w:ascii="楷体" w:hAnsi="楷体" w:eastAsia="楷体" w:cs="楷体"/>
          <w:spacing w:val="7"/>
          <w:sz w:val="32"/>
          <w:szCs w:val="32"/>
        </w:rPr>
        <w:t>；</w:t>
      </w:r>
      <w:r>
        <w:rPr>
          <w:rFonts w:ascii="楷体" w:hAnsi="楷体" w:eastAsia="楷体" w:cs="楷体"/>
          <w:spacing w:val="5"/>
          <w:sz w:val="32"/>
          <w:szCs w:val="32"/>
        </w:rPr>
        <w:t>责任单位</w:t>
      </w:r>
      <w:r>
        <w:rPr>
          <w:rFonts w:ascii="楷体" w:hAnsi="楷体" w:eastAsia="楷体" w:cs="楷体"/>
          <w:spacing w:val="7"/>
          <w:sz w:val="32"/>
          <w:szCs w:val="32"/>
        </w:rPr>
        <w:t>：</w:t>
      </w:r>
      <w:r>
        <w:rPr>
          <w:rFonts w:ascii="楷体" w:hAnsi="楷体" w:eastAsia="楷体" w:cs="楷体"/>
          <w:spacing w:val="5"/>
          <w:sz w:val="32"/>
          <w:szCs w:val="32"/>
        </w:rPr>
        <w:t>市民政局</w:t>
      </w:r>
      <w:r>
        <w:rPr>
          <w:rFonts w:ascii="楷体" w:hAnsi="楷体" w:eastAsia="楷体" w:cs="楷体"/>
          <w:spacing w:val="7"/>
          <w:sz w:val="32"/>
          <w:szCs w:val="32"/>
        </w:rPr>
        <w:t>、</w:t>
      </w:r>
      <w:r>
        <w:rPr>
          <w:rFonts w:ascii="楷体" w:hAnsi="楷体" w:eastAsia="楷体" w:cs="楷体"/>
          <w:spacing w:val="5"/>
          <w:sz w:val="32"/>
          <w:szCs w:val="32"/>
        </w:rPr>
        <w:t>市财政局</w:t>
      </w:r>
      <w:r>
        <w:rPr>
          <w:rFonts w:ascii="楷体" w:hAnsi="楷体" w:eastAsia="楷体" w:cs="楷体"/>
          <w:spacing w:val="7"/>
          <w:sz w:val="32"/>
          <w:szCs w:val="32"/>
        </w:rPr>
        <w:t>、</w:t>
      </w:r>
      <w:r>
        <w:rPr>
          <w:rFonts w:ascii="楷体" w:hAnsi="楷体" w:eastAsia="楷体" w:cs="楷体"/>
          <w:spacing w:val="5"/>
          <w:sz w:val="32"/>
          <w:szCs w:val="32"/>
        </w:rPr>
        <w:t>市退役军人</w:t>
      </w:r>
      <w:r>
        <w:rPr>
          <w:rFonts w:ascii="楷体" w:hAnsi="楷体" w:eastAsia="楷体" w:cs="楷体"/>
          <w:spacing w:val="8"/>
          <w:sz w:val="32"/>
          <w:szCs w:val="32"/>
        </w:rPr>
        <w:t>事</w:t>
      </w:r>
      <w:r>
        <w:rPr>
          <w:rFonts w:ascii="楷体" w:hAnsi="楷体" w:eastAsia="楷体" w:cs="楷体"/>
          <w:spacing w:val="7"/>
          <w:sz w:val="32"/>
          <w:szCs w:val="32"/>
        </w:rPr>
        <w:t>务局</w:t>
      </w:r>
      <w:r>
        <w:rPr>
          <w:rFonts w:ascii="楷体" w:hAnsi="楷体" w:eastAsia="楷体" w:cs="楷体"/>
          <w:spacing w:val="10"/>
          <w:sz w:val="32"/>
          <w:szCs w:val="32"/>
        </w:rPr>
        <w:t>、</w:t>
      </w:r>
      <w:r>
        <w:rPr>
          <w:rFonts w:ascii="楷体" w:hAnsi="楷体" w:eastAsia="楷体" w:cs="楷体"/>
          <w:spacing w:val="7"/>
          <w:sz w:val="32"/>
          <w:szCs w:val="32"/>
        </w:rPr>
        <w:t>市残联</w:t>
      </w:r>
      <w:r>
        <w:rPr>
          <w:rFonts w:ascii="楷体" w:hAnsi="楷体" w:eastAsia="楷体" w:cs="楷体"/>
          <w:spacing w:val="10"/>
          <w:sz w:val="32"/>
          <w:szCs w:val="32"/>
        </w:rPr>
        <w:t>）</w:t>
      </w:r>
    </w:p>
    <w:p>
      <w:pPr>
        <w:keepNext w:val="0"/>
        <w:keepLines w:val="0"/>
        <w:pageBreakBefore w:val="0"/>
        <w:wordWrap/>
        <w:overflowPunct/>
        <w:topLinePunct w:val="0"/>
        <w:bidi w:val="0"/>
        <w:spacing w:line="560" w:lineRule="exact"/>
        <w:ind w:left="10" w:right="83" w:firstLine="622" w:firstLineChars="201"/>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9.促进三重制度互补衔接。</w:t>
      </w:r>
      <w:r>
        <w:rPr>
          <w:rFonts w:hint="eastAsia" w:ascii="仿宋_GB2312" w:hAnsi="仿宋_GB2312" w:eastAsia="仿宋_GB2312" w:cs="仿宋_GB2312"/>
          <w:spacing w:val="-6"/>
          <w:kern w:val="2"/>
          <w:sz w:val="32"/>
          <w:szCs w:val="32"/>
          <w:lang w:val="en-US" w:eastAsia="zh-CN" w:bidi="ar-SA"/>
        </w:rPr>
        <w:t>发挥基本医保主体保障功能，结合疾病谱变化，优化高发高费用慢特病门诊的基本医疗保险保障政策，在恶性肿瘤门诊治疗、器官移植后抗排异治疗等10种特殊病，高血压、糖尿病等14种慢病的基础上，分批扩大病种范围，第一批将分裂情感障碍、偏执性精神障碍、癫痫所致精神障碍、严重精神发育迟滞所致的精神障碍等重性精神病药物维持治疗及糖尿病胰岛素治疗、尿毒症透析治疗等6种病种纳入特殊病种目录，门诊与住院共用年度支付限额；积极争取将更多常见高发病种纳入慢特病目录范围。增强大病保险减负功能，加大困难群众大病保险倾斜支付力度，起付标准线降低50%，支付比例达到80%以上，取消大病保险封顶线。夯实医疗救助托底保障功能，不设起付线，困难群众救助比例不低于80%；门诊目录范围内医疗费用与住院同比例救助、共用年度救助限额，救助限额为每人每年10万元，其中特困人员取消救助限额。</w:t>
      </w:r>
      <w:r>
        <w:rPr>
          <w:rFonts w:ascii="楷体" w:hAnsi="楷体" w:eastAsia="楷体" w:cs="楷体"/>
          <w:sz w:val="32"/>
          <w:szCs w:val="32"/>
        </w:rPr>
        <w:t>（牵头单位</w:t>
      </w:r>
      <w:r>
        <w:rPr>
          <w:rFonts w:ascii="楷体" w:hAnsi="楷体" w:eastAsia="楷体" w:cs="楷体"/>
          <w:spacing w:val="-23"/>
          <w:sz w:val="32"/>
          <w:szCs w:val="32"/>
        </w:rPr>
        <w:t>：</w:t>
      </w:r>
      <w:r>
        <w:rPr>
          <w:rFonts w:ascii="楷体" w:hAnsi="楷体" w:eastAsia="楷体" w:cs="楷体"/>
          <w:sz w:val="32"/>
          <w:szCs w:val="32"/>
        </w:rPr>
        <w:t>市医保</w:t>
      </w:r>
      <w:r>
        <w:rPr>
          <w:rFonts w:ascii="楷体" w:hAnsi="楷体" w:eastAsia="楷体" w:cs="楷体"/>
          <w:spacing w:val="9"/>
          <w:sz w:val="32"/>
          <w:szCs w:val="32"/>
        </w:rPr>
        <w:t>局</w:t>
      </w:r>
      <w:r>
        <w:rPr>
          <w:rFonts w:ascii="楷体" w:hAnsi="楷体" w:eastAsia="楷体" w:cs="楷体"/>
          <w:spacing w:val="12"/>
          <w:sz w:val="32"/>
          <w:szCs w:val="32"/>
        </w:rPr>
        <w:t>；</w:t>
      </w:r>
      <w:r>
        <w:rPr>
          <w:rFonts w:ascii="楷体" w:hAnsi="楷体" w:eastAsia="楷体" w:cs="楷体"/>
          <w:spacing w:val="9"/>
          <w:sz w:val="32"/>
          <w:szCs w:val="32"/>
        </w:rPr>
        <w:t>责任单</w:t>
      </w:r>
      <w:r>
        <w:rPr>
          <w:rFonts w:ascii="楷体" w:hAnsi="楷体" w:eastAsia="楷体" w:cs="楷体"/>
          <w:spacing w:val="8"/>
          <w:sz w:val="32"/>
          <w:szCs w:val="32"/>
        </w:rPr>
        <w:t>位</w:t>
      </w:r>
      <w:r>
        <w:rPr>
          <w:rFonts w:ascii="楷体" w:hAnsi="楷体" w:eastAsia="楷体" w:cs="楷体"/>
          <w:spacing w:val="12"/>
          <w:sz w:val="32"/>
          <w:szCs w:val="32"/>
        </w:rPr>
        <w:t>：</w:t>
      </w:r>
      <w:r>
        <w:rPr>
          <w:rFonts w:ascii="楷体" w:hAnsi="楷体" w:eastAsia="楷体" w:cs="楷体"/>
          <w:spacing w:val="8"/>
          <w:sz w:val="32"/>
          <w:szCs w:val="32"/>
        </w:rPr>
        <w:t>市财政局</w:t>
      </w:r>
      <w:r>
        <w:rPr>
          <w:rFonts w:ascii="楷体" w:hAnsi="楷体" w:eastAsia="楷体" w:cs="楷体"/>
          <w:spacing w:val="12"/>
          <w:sz w:val="32"/>
          <w:szCs w:val="32"/>
        </w:rPr>
        <w:t>）</w:t>
      </w:r>
    </w:p>
    <w:p>
      <w:pPr>
        <w:keepNext w:val="0"/>
        <w:keepLines w:val="0"/>
        <w:pageBreakBefore w:val="0"/>
        <w:wordWrap/>
        <w:overflowPunct/>
        <w:topLinePunct w:val="0"/>
        <w:bidi w:val="0"/>
        <w:spacing w:line="560" w:lineRule="exact"/>
        <w:ind w:left="8" w:right="11" w:firstLine="669"/>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10.鼓励发展商业健康保险。</w:t>
      </w:r>
      <w:r>
        <w:rPr>
          <w:rFonts w:hint="eastAsia" w:ascii="仿宋_GB2312" w:hAnsi="仿宋_GB2312" w:eastAsia="仿宋_GB2312" w:cs="仿宋_GB2312"/>
          <w:spacing w:val="-6"/>
          <w:kern w:val="2"/>
          <w:sz w:val="32"/>
          <w:szCs w:val="32"/>
          <w:lang w:val="en-US" w:eastAsia="zh-CN" w:bidi="ar-SA"/>
        </w:rPr>
        <w:t>在三重制度保障基础上，完善普惠型商业补充医疗保险体系，实行困难群众参加政策性商业补充医疗保险财政资助参保。充分发挥商业补充医疗保险的第四重保障功能，在保大病、保重病的基础上突出保困难，对困难群众的政策范围内费用、医保目录内超限使用药品、医保目录外自费高额特殊药品等予以重点保障倾斜支付，不设起付线和封顶线，报销比例为10%。</w:t>
      </w:r>
      <w:r>
        <w:rPr>
          <w:rFonts w:ascii="楷体" w:hAnsi="楷体" w:eastAsia="楷体" w:cs="楷体"/>
          <w:color w:val="000000" w:themeColor="text1"/>
          <w:sz w:val="32"/>
          <w:szCs w:val="32"/>
          <w14:textFill>
            <w14:solidFill>
              <w14:schemeClr w14:val="tx1"/>
            </w14:solidFill>
          </w14:textFill>
        </w:rPr>
        <w:t>（</w:t>
      </w:r>
      <w:r>
        <w:rPr>
          <w:rFonts w:ascii="楷体" w:hAnsi="楷体" w:eastAsia="楷体" w:cs="楷体"/>
          <w:sz w:val="32"/>
          <w:szCs w:val="32"/>
        </w:rPr>
        <w:t>牵头单位</w:t>
      </w:r>
      <w:r>
        <w:rPr>
          <w:rFonts w:ascii="楷体" w:hAnsi="楷体" w:eastAsia="楷体" w:cs="楷体"/>
          <w:spacing w:val="-28"/>
          <w:sz w:val="32"/>
          <w:szCs w:val="32"/>
        </w:rPr>
        <w:t>：</w:t>
      </w:r>
      <w:r>
        <w:rPr>
          <w:rFonts w:ascii="楷体" w:hAnsi="楷体" w:eastAsia="楷体" w:cs="楷体"/>
          <w:sz w:val="32"/>
          <w:szCs w:val="32"/>
        </w:rPr>
        <w:t>市医保局</w:t>
      </w:r>
      <w:r>
        <w:rPr>
          <w:rFonts w:ascii="楷体" w:hAnsi="楷体" w:eastAsia="楷体" w:cs="楷体"/>
          <w:spacing w:val="-27"/>
          <w:sz w:val="32"/>
          <w:szCs w:val="32"/>
        </w:rPr>
        <w:t>；</w:t>
      </w:r>
      <w:r>
        <w:rPr>
          <w:rFonts w:ascii="楷体" w:hAnsi="楷体" w:eastAsia="楷体" w:cs="楷体"/>
          <w:spacing w:val="6"/>
          <w:sz w:val="32"/>
          <w:szCs w:val="32"/>
        </w:rPr>
        <w:t>责任单位</w:t>
      </w:r>
      <w:r>
        <w:rPr>
          <w:rFonts w:ascii="楷体" w:hAnsi="楷体" w:eastAsia="楷体" w:cs="楷体"/>
          <w:spacing w:val="7"/>
          <w:sz w:val="32"/>
          <w:szCs w:val="32"/>
        </w:rPr>
        <w:t>：</w:t>
      </w:r>
      <w:r>
        <w:rPr>
          <w:rFonts w:ascii="楷体" w:hAnsi="楷体" w:eastAsia="楷体" w:cs="楷体"/>
          <w:spacing w:val="6"/>
          <w:sz w:val="32"/>
          <w:szCs w:val="32"/>
        </w:rPr>
        <w:t>市</w:t>
      </w:r>
      <w:r>
        <w:rPr>
          <w:rFonts w:ascii="楷体" w:hAnsi="楷体" w:eastAsia="楷体" w:cs="楷体"/>
          <w:spacing w:val="5"/>
          <w:sz w:val="32"/>
          <w:szCs w:val="32"/>
        </w:rPr>
        <w:t>财政局</w:t>
      </w:r>
      <w:r>
        <w:rPr>
          <w:rFonts w:ascii="楷体" w:hAnsi="楷体" w:eastAsia="楷体" w:cs="楷体"/>
          <w:spacing w:val="7"/>
          <w:sz w:val="32"/>
          <w:szCs w:val="32"/>
        </w:rPr>
        <w:t>、</w:t>
      </w:r>
      <w:r>
        <w:rPr>
          <w:rFonts w:ascii="楷体" w:hAnsi="楷体" w:eastAsia="楷体" w:cs="楷体"/>
          <w:spacing w:val="5"/>
          <w:sz w:val="32"/>
          <w:szCs w:val="32"/>
        </w:rPr>
        <w:t>市农业农村局</w:t>
      </w:r>
      <w:r>
        <w:rPr>
          <w:rFonts w:ascii="楷体" w:hAnsi="楷体" w:eastAsia="楷体" w:cs="楷体"/>
          <w:spacing w:val="7"/>
          <w:sz w:val="32"/>
          <w:szCs w:val="32"/>
        </w:rPr>
        <w:t>、</w:t>
      </w:r>
      <w:r>
        <w:rPr>
          <w:rFonts w:ascii="楷体" w:hAnsi="楷体" w:eastAsia="楷体" w:cs="楷体"/>
          <w:spacing w:val="5"/>
          <w:sz w:val="32"/>
          <w:szCs w:val="32"/>
        </w:rPr>
        <w:t>市金融办</w:t>
      </w:r>
      <w:r>
        <w:rPr>
          <w:rFonts w:ascii="楷体" w:hAnsi="楷体" w:eastAsia="楷体" w:cs="楷体"/>
          <w:spacing w:val="7"/>
          <w:sz w:val="32"/>
          <w:szCs w:val="32"/>
        </w:rPr>
        <w:t>、</w:t>
      </w:r>
      <w:r>
        <w:rPr>
          <w:rFonts w:ascii="楷体" w:hAnsi="楷体" w:eastAsia="楷体" w:cs="楷体"/>
          <w:spacing w:val="5"/>
          <w:sz w:val="32"/>
          <w:szCs w:val="32"/>
        </w:rPr>
        <w:t>市税务局</w:t>
      </w:r>
      <w:r>
        <w:rPr>
          <w:rFonts w:ascii="楷体" w:hAnsi="楷体" w:eastAsia="楷体" w:cs="楷体"/>
          <w:spacing w:val="7"/>
          <w:sz w:val="32"/>
          <w:szCs w:val="32"/>
        </w:rPr>
        <w:t>、</w:t>
      </w:r>
      <w:r>
        <w:rPr>
          <w:rFonts w:ascii="楷体" w:hAnsi="楷体" w:eastAsia="楷体" w:cs="楷体"/>
          <w:spacing w:val="5"/>
          <w:sz w:val="32"/>
          <w:szCs w:val="32"/>
        </w:rPr>
        <w:t>温</w:t>
      </w:r>
      <w:r>
        <w:rPr>
          <w:rFonts w:ascii="楷体" w:hAnsi="楷体" w:eastAsia="楷体" w:cs="楷体"/>
          <w:spacing w:val="1"/>
          <w:sz w:val="32"/>
          <w:szCs w:val="32"/>
        </w:rPr>
        <w:t>州银保监分</w:t>
      </w:r>
      <w:r>
        <w:rPr>
          <w:rFonts w:ascii="楷体" w:hAnsi="楷体" w:eastAsia="楷体" w:cs="楷体"/>
          <w:spacing w:val="5"/>
          <w:sz w:val="32"/>
          <w:szCs w:val="32"/>
        </w:rPr>
        <w:t>局</w:t>
      </w:r>
      <w:r>
        <w:rPr>
          <w:rFonts w:hint="eastAsia" w:ascii="楷体" w:hAnsi="楷体" w:eastAsia="楷体" w:cs="楷体"/>
          <w:spacing w:val="5"/>
          <w:sz w:val="32"/>
          <w:szCs w:val="32"/>
        </w:rPr>
        <w:t>乐清监管组</w:t>
      </w:r>
      <w:r>
        <w:rPr>
          <w:rFonts w:hint="eastAsia" w:ascii="楷体" w:hAnsi="楷体" w:eastAsia="楷体" w:cs="楷体"/>
          <w:spacing w:val="5"/>
          <w:sz w:val="32"/>
          <w:szCs w:val="32"/>
          <w:lang w:eastAsia="zh-CN"/>
        </w:rPr>
        <w:t>、</w:t>
      </w:r>
      <w:r>
        <w:rPr>
          <w:rFonts w:ascii="楷体" w:hAnsi="楷体" w:eastAsia="楷体" w:cs="楷体"/>
          <w:spacing w:val="5"/>
          <w:sz w:val="32"/>
          <w:szCs w:val="32"/>
        </w:rPr>
        <w:t>各</w:t>
      </w:r>
      <w:r>
        <w:rPr>
          <w:rFonts w:hint="eastAsia" w:ascii="楷体" w:hAnsi="楷体" w:eastAsia="楷体" w:cs="楷体"/>
          <w:spacing w:val="5"/>
          <w:sz w:val="32"/>
          <w:szCs w:val="32"/>
        </w:rPr>
        <w:t>乡镇</w:t>
      </w:r>
      <w:r>
        <w:rPr>
          <w:rFonts w:hint="eastAsia" w:ascii="楷体" w:hAnsi="楷体" w:eastAsia="楷体" w:cs="楷体"/>
          <w:spacing w:val="5"/>
          <w:sz w:val="32"/>
          <w:szCs w:val="32"/>
          <w:lang w:eastAsia="zh-CN"/>
        </w:rPr>
        <w:t>街道</w:t>
      </w:r>
      <w:r>
        <w:rPr>
          <w:rFonts w:ascii="楷体" w:hAnsi="楷体" w:eastAsia="楷体" w:cs="楷体"/>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9" w:firstLineChars="200"/>
        <w:textAlignment w:val="baseline"/>
        <w:rPr>
          <w:rFonts w:ascii="楷体" w:hAnsi="楷体" w:eastAsia="楷体" w:cs="楷体"/>
          <w:color w:val="000000" w:themeColor="text1"/>
          <w:sz w:val="32"/>
          <w:szCs w:val="32"/>
          <w14:textFill>
            <w14:solidFill>
              <w14:schemeClr w14:val="tx1"/>
            </w14:solidFill>
          </w14:textFill>
        </w:rPr>
      </w:pPr>
      <w:r>
        <w:rPr>
          <w:rFonts w:hint="eastAsia" w:ascii="仿宋_GB2312" w:hAnsi="仿宋_GB2312" w:eastAsia="仿宋_GB2312" w:cs="仿宋_GB2312"/>
          <w:b/>
          <w:bCs/>
          <w:spacing w:val="-6"/>
          <w:kern w:val="2"/>
          <w:sz w:val="32"/>
          <w:szCs w:val="32"/>
          <w:lang w:val="en-US" w:eastAsia="zh-CN" w:bidi="ar-SA"/>
        </w:rPr>
        <w:t>11.发挥社会力量多渠道化解。</w:t>
      </w:r>
      <w:r>
        <w:rPr>
          <w:rFonts w:hint="eastAsia" w:ascii="仿宋_GB2312" w:hAnsi="仿宋_GB2312" w:eastAsia="仿宋_GB2312" w:cs="仿宋_GB2312"/>
          <w:spacing w:val="-6"/>
          <w:kern w:val="2"/>
          <w:sz w:val="32"/>
          <w:szCs w:val="32"/>
          <w:lang w:val="en-US" w:eastAsia="zh-CN" w:bidi="ar-SA"/>
        </w:rPr>
        <w:t>加强医疗救助与慈善事业衔接，建立社会力量参与机制，引导更多温商、乡贤及爱心人士帮扶困难群众，鼓励银行部门、慈善组织和其他社会组织充分发挥“三次分配”作用，筹集设立具有公益性质的“慈善医疗救助共富基金”，专项用于困难群众医疗救急、高额医疗费用化解、特殊病种护理等项目，发挥补充救助作用。规范互联网平台互助，加强风险防控，促进互联网公开募捐信息平台发展和平台间慈善资源共享，规范互联网个人大病救助平台信息发布，推行阳光救助。建立高额医疗费用化解机制，对于执行就医指导方案、且经规范转诊的困难群众，在经基本医疗保险、大病保险、医疗救助、商业补充保险“四重医疗保障”后，自负金额仍超5万元以上，由各部门多渠道化解至5万元以下，确保全市困难群众综合保障率提高5个百分点，切实减轻困难群众医疗费用负担。化解金额清单化，通过村居协管员，将清单送至困难群众手中，让群众切实感受政府的救助关怀。</w:t>
      </w:r>
      <w:r>
        <w:rPr>
          <w:rFonts w:hint="eastAsia" w:ascii="仿宋_GB2312" w:hAnsi="仿宋_GB2312" w:eastAsia="仿宋_GB2312" w:cs="仿宋_GB2312"/>
          <w:sz w:val="32"/>
          <w:szCs w:val="32"/>
          <w:lang w:eastAsia="zh-CN"/>
        </w:rPr>
        <w:t>（</w:t>
      </w:r>
      <w:r>
        <w:rPr>
          <w:rFonts w:hint="eastAsia" w:ascii="楷体" w:hAnsi="楷体" w:eastAsia="楷体" w:cs="楷体"/>
          <w:color w:val="000000" w:themeColor="text1"/>
          <w:spacing w:val="1"/>
          <w:sz w:val="32"/>
          <w:szCs w:val="32"/>
          <w:lang w:val="en-US" w:eastAsia="zh-CN"/>
          <w14:textFill>
            <w14:solidFill>
              <w14:schemeClr w14:val="tx1"/>
            </w14:solidFill>
          </w14:textFill>
        </w:rPr>
        <w:t>牵头单位：</w:t>
      </w:r>
      <w:r>
        <w:rPr>
          <w:rFonts w:hint="eastAsia" w:ascii="楷体" w:hAnsi="楷体" w:eastAsia="楷体" w:cs="楷体"/>
          <w:color w:val="000000" w:themeColor="text1"/>
          <w:spacing w:val="1"/>
          <w:sz w:val="32"/>
          <w:szCs w:val="32"/>
          <w14:textFill>
            <w14:solidFill>
              <w14:schemeClr w14:val="tx1"/>
            </w14:solidFill>
          </w14:textFill>
        </w:rPr>
        <w:t>市慈善总会</w:t>
      </w:r>
      <w:r>
        <w:rPr>
          <w:rFonts w:hint="eastAsia" w:ascii="楷体" w:hAnsi="楷体" w:eastAsia="楷体" w:cs="楷体"/>
          <w:color w:val="000000" w:themeColor="text1"/>
          <w:spacing w:val="1"/>
          <w:sz w:val="32"/>
          <w:szCs w:val="32"/>
          <w:lang w:eastAsia="zh-CN"/>
          <w14:textFill>
            <w14:solidFill>
              <w14:schemeClr w14:val="tx1"/>
            </w14:solidFill>
          </w14:textFill>
        </w:rPr>
        <w:t>；</w:t>
      </w:r>
      <w:r>
        <w:rPr>
          <w:rFonts w:ascii="楷体" w:hAnsi="楷体" w:eastAsia="楷体" w:cs="楷体"/>
          <w:color w:val="000000" w:themeColor="text1"/>
          <w:spacing w:val="1"/>
          <w:sz w:val="32"/>
          <w:szCs w:val="32"/>
          <w14:textFill>
            <w14:solidFill>
              <w14:schemeClr w14:val="tx1"/>
            </w14:solidFill>
          </w14:textFill>
        </w:rPr>
        <w:t>责任单位：</w:t>
      </w:r>
      <w:r>
        <w:rPr>
          <w:rFonts w:hint="eastAsia" w:ascii="楷体" w:hAnsi="楷体" w:eastAsia="楷体" w:cs="楷体"/>
          <w:color w:val="000000" w:themeColor="text1"/>
          <w:spacing w:val="1"/>
          <w:sz w:val="32"/>
          <w:szCs w:val="32"/>
          <w14:textFill>
            <w14:solidFill>
              <w14:schemeClr w14:val="tx1"/>
            </w14:solidFill>
          </w14:textFill>
        </w:rPr>
        <w:t>市医保局、市财政局、市</w:t>
      </w:r>
      <w:r>
        <w:rPr>
          <w:rFonts w:ascii="楷体" w:hAnsi="楷体" w:eastAsia="楷体" w:cs="楷体"/>
          <w:color w:val="000000" w:themeColor="text1"/>
          <w:spacing w:val="5"/>
          <w:sz w:val="32"/>
          <w:szCs w:val="32"/>
          <w14:textFill>
            <w14:solidFill>
              <w14:schemeClr w14:val="tx1"/>
            </w14:solidFill>
          </w14:textFill>
        </w:rPr>
        <w:t>民政局</w:t>
      </w:r>
      <w:r>
        <w:rPr>
          <w:rFonts w:ascii="楷体" w:hAnsi="楷体" w:eastAsia="楷体" w:cs="楷体"/>
          <w:color w:val="000000" w:themeColor="text1"/>
          <w:spacing w:val="8"/>
          <w:sz w:val="32"/>
          <w:szCs w:val="32"/>
          <w14:textFill>
            <w14:solidFill>
              <w14:schemeClr w14:val="tx1"/>
            </w14:solidFill>
          </w14:textFill>
        </w:rPr>
        <w:t>、</w:t>
      </w:r>
      <w:r>
        <w:rPr>
          <w:rFonts w:hint="eastAsia" w:ascii="楷体" w:hAnsi="楷体" w:eastAsia="楷体" w:cs="楷体"/>
          <w:color w:val="000000" w:themeColor="text1"/>
          <w:spacing w:val="8"/>
          <w:sz w:val="32"/>
          <w:szCs w:val="32"/>
          <w14:textFill>
            <w14:solidFill>
              <w14:schemeClr w14:val="tx1"/>
            </w14:solidFill>
          </w14:textFill>
        </w:rPr>
        <w:t>市</w:t>
      </w:r>
      <w:r>
        <w:rPr>
          <w:rFonts w:ascii="楷体" w:hAnsi="楷体" w:eastAsia="楷体" w:cs="楷体"/>
          <w:color w:val="000000" w:themeColor="text1"/>
          <w:spacing w:val="9"/>
          <w:sz w:val="32"/>
          <w:szCs w:val="32"/>
          <w14:textFill>
            <w14:solidFill>
              <w14:schemeClr w14:val="tx1"/>
            </w14:solidFill>
          </w14:textFill>
        </w:rPr>
        <w:t>退役军人事务局</w:t>
      </w:r>
      <w:r>
        <w:rPr>
          <w:rFonts w:ascii="楷体" w:hAnsi="楷体" w:eastAsia="楷体" w:cs="楷体"/>
          <w:color w:val="000000" w:themeColor="text1"/>
          <w:spacing w:val="11"/>
          <w:sz w:val="32"/>
          <w:szCs w:val="32"/>
          <w14:textFill>
            <w14:solidFill>
              <w14:schemeClr w14:val="tx1"/>
            </w14:solidFill>
          </w14:textFill>
        </w:rPr>
        <w:t>、</w:t>
      </w:r>
      <w:r>
        <w:rPr>
          <w:rFonts w:hint="eastAsia" w:ascii="楷体" w:hAnsi="楷体" w:eastAsia="楷体" w:cs="楷体"/>
          <w:color w:val="000000" w:themeColor="text1"/>
          <w:spacing w:val="11"/>
          <w:sz w:val="32"/>
          <w:szCs w:val="32"/>
          <w14:textFill>
            <w14:solidFill>
              <w14:schemeClr w14:val="tx1"/>
            </w14:solidFill>
          </w14:textFill>
        </w:rPr>
        <w:t>市</w:t>
      </w:r>
      <w:r>
        <w:rPr>
          <w:rFonts w:ascii="楷体" w:hAnsi="楷体" w:eastAsia="楷体" w:cs="楷体"/>
          <w:color w:val="000000" w:themeColor="text1"/>
          <w:spacing w:val="8"/>
          <w:sz w:val="32"/>
          <w:szCs w:val="32"/>
          <w14:textFill>
            <w14:solidFill>
              <w14:schemeClr w14:val="tx1"/>
            </w14:solidFill>
          </w14:textFill>
        </w:rPr>
        <w:t>残联</w:t>
      </w:r>
      <w:r>
        <w:rPr>
          <w:rFonts w:ascii="楷体" w:hAnsi="楷体" w:eastAsia="楷体" w:cs="楷体"/>
          <w:color w:val="000000" w:themeColor="text1"/>
          <w:spacing w:val="1"/>
          <w:sz w:val="32"/>
          <w:szCs w:val="32"/>
          <w14:textFill>
            <w14:solidFill>
              <w14:schemeClr w14:val="tx1"/>
            </w14:solidFill>
          </w14:textFill>
        </w:rPr>
        <w:t>）</w:t>
      </w:r>
    </w:p>
    <w:p>
      <w:pPr>
        <w:keepNext w:val="0"/>
        <w:keepLines w:val="0"/>
        <w:pageBreakBefore w:val="0"/>
        <w:wordWrap/>
        <w:overflowPunct/>
        <w:topLinePunct w:val="0"/>
        <w:bidi w:val="0"/>
        <w:spacing w:line="560" w:lineRule="exact"/>
        <w:ind w:right="215" w:firstLine="619" w:firstLineChars="200"/>
        <w:rPr>
          <w:rFonts w:ascii="楷体" w:hAnsi="楷体" w:eastAsia="楷体" w:cs="楷体"/>
          <w:sz w:val="32"/>
          <w:szCs w:val="32"/>
        </w:rPr>
      </w:pPr>
      <w:r>
        <w:rPr>
          <w:rFonts w:hint="eastAsia" w:ascii="仿宋_GB2312" w:hAnsi="仿宋_GB2312" w:eastAsia="仿宋_GB2312" w:cs="仿宋_GB2312"/>
          <w:b/>
          <w:bCs/>
          <w:spacing w:val="-6"/>
          <w:kern w:val="2"/>
          <w:sz w:val="32"/>
          <w:szCs w:val="32"/>
          <w:lang w:val="en-US" w:eastAsia="zh-CN" w:bidi="ar-SA"/>
        </w:rPr>
        <w:t>12.建立多方联动帮扶机制。</w:t>
      </w:r>
      <w:r>
        <w:rPr>
          <w:rFonts w:hint="eastAsia" w:ascii="仿宋_GB2312" w:hAnsi="仿宋_GB2312" w:eastAsia="仿宋_GB2312" w:cs="仿宋_GB2312"/>
          <w:spacing w:val="-6"/>
          <w:kern w:val="2"/>
          <w:sz w:val="32"/>
          <w:szCs w:val="32"/>
          <w:lang w:val="en-US" w:eastAsia="zh-CN" w:bidi="ar-SA"/>
        </w:rPr>
        <w:t>完善社会救助体系，落实乡镇（街道）临时救助备用金制度，对遭遇突发事件、意外伤害、重大疾病等原因导致生活陷入困境的困难家庭或个人，给予应急、过渡性的临时救助。建立健全民政、教育、财政、人社、卫健、医保、总工会、残联、红十字会等部门（机构）和慈善总会等相关社会组织共同参与的联席机制，根据对象类型、困难程度等，及时有针对性地给予困难群众医疗、教育、住房、就业等专项救助，对困难群众优先实施公租房实物保障家庭给予租金减免；深入实施零就业家庭清零行动，鼓励针对困难群众设置公益岗位和“爱心岗位”；落实困难群众水电费、通讯费、网络费、燃气费、公共交通出行费减免政策；完善不同教育阶段的奖补或减免政策，做到精准识别、应助尽助；鼓励工会开展职工医疗互助活动。</w:t>
      </w:r>
      <w:r>
        <w:rPr>
          <w:rFonts w:ascii="楷体" w:hAnsi="楷体" w:eastAsia="楷体" w:cs="楷体"/>
          <w:spacing w:val="9"/>
          <w:sz w:val="32"/>
          <w:szCs w:val="32"/>
        </w:rPr>
        <w:t>（各单位按职责分工负责</w:t>
      </w:r>
      <w:r>
        <w:rPr>
          <w:rFonts w:ascii="楷体" w:hAnsi="楷体" w:eastAsia="楷体" w:cs="楷体"/>
          <w:spacing w:val="11"/>
          <w:sz w:val="32"/>
          <w:szCs w:val="32"/>
        </w:rPr>
        <w:t>）</w:t>
      </w:r>
    </w:p>
    <w:p>
      <w:pPr>
        <w:keepNext w:val="0"/>
        <w:keepLines w:val="0"/>
        <w:pageBreakBefore w:val="0"/>
        <w:wordWrap/>
        <w:overflowPunct/>
        <w:topLinePunct w:val="0"/>
        <w:bidi w:val="0"/>
        <w:spacing w:line="560" w:lineRule="exact"/>
        <w:ind w:firstLine="672"/>
        <w:rPr>
          <w:rFonts w:ascii="黑体" w:hAnsi="黑体" w:eastAsia="黑体" w:cs="黑体"/>
          <w:sz w:val="32"/>
          <w:szCs w:val="32"/>
        </w:rPr>
      </w:pPr>
      <w:r>
        <w:rPr>
          <w:rFonts w:ascii="黑体" w:hAnsi="黑体" w:eastAsia="黑体" w:cs="黑体"/>
          <w:spacing w:val="5"/>
          <w:sz w:val="32"/>
          <w:szCs w:val="32"/>
        </w:rPr>
        <w:t>四、工作</w:t>
      </w:r>
      <w:r>
        <w:rPr>
          <w:rFonts w:ascii="黑体" w:hAnsi="黑体" w:eastAsia="黑体" w:cs="黑体"/>
          <w:spacing w:val="4"/>
          <w:sz w:val="32"/>
          <w:szCs w:val="32"/>
        </w:rPr>
        <w:t>要求</w:t>
      </w:r>
    </w:p>
    <w:p>
      <w:pPr>
        <w:keepNext w:val="0"/>
        <w:keepLines w:val="0"/>
        <w:pageBreakBefore w:val="0"/>
        <w:wordWrap/>
        <w:overflowPunct/>
        <w:topLinePunct w:val="0"/>
        <w:bidi w:val="0"/>
        <w:spacing w:line="560" w:lineRule="exact"/>
        <w:ind w:left="10" w:firstLine="635"/>
        <w:rPr>
          <w:rFonts w:hint="eastAsia" w:ascii="仿宋_GB2312" w:hAnsi="仿宋_GB2312" w:eastAsia="仿宋_GB2312" w:cs="仿宋_GB2312"/>
          <w:spacing w:val="-6"/>
          <w:kern w:val="2"/>
          <w:sz w:val="32"/>
          <w:szCs w:val="32"/>
          <w:lang w:val="en-US" w:eastAsia="zh-CN" w:bidi="ar-SA"/>
        </w:rPr>
      </w:pPr>
      <w:r>
        <w:rPr>
          <w:rFonts w:hint="eastAsia" w:ascii="楷体" w:hAnsi="楷体" w:eastAsia="楷体" w:cs="楷体"/>
          <w:sz w:val="32"/>
          <w:szCs w:val="32"/>
        </w:rPr>
        <w:t>（一</w:t>
      </w:r>
      <w:r>
        <w:rPr>
          <w:rFonts w:hint="eastAsia" w:ascii="楷体" w:hAnsi="楷体" w:eastAsia="楷体" w:cs="楷体"/>
          <w:spacing w:val="-1"/>
          <w:sz w:val="32"/>
          <w:szCs w:val="32"/>
        </w:rPr>
        <w:t>）</w:t>
      </w:r>
      <w:r>
        <w:rPr>
          <w:rFonts w:hint="eastAsia" w:ascii="楷体" w:hAnsi="楷体" w:eastAsia="楷体" w:cs="楷体"/>
          <w:sz w:val="32"/>
          <w:szCs w:val="32"/>
        </w:rPr>
        <w:t>加强组织保障。</w:t>
      </w:r>
      <w:r>
        <w:rPr>
          <w:rFonts w:hint="eastAsia" w:ascii="仿宋_GB2312" w:hAnsi="仿宋_GB2312" w:eastAsia="仿宋_GB2312" w:cs="仿宋_GB2312"/>
          <w:spacing w:val="-6"/>
          <w:kern w:val="2"/>
          <w:sz w:val="32"/>
          <w:szCs w:val="32"/>
          <w:lang w:val="en-US" w:eastAsia="zh-CN" w:bidi="ar-SA"/>
        </w:rPr>
        <w:t>各有关部门要将防范化解困难群众因病致贫返贫工作作为共同富裕“扩中提低”支撑性举措之一，提高政治站位，纳入重要安排。市政府成立以市长为组长、分管副市长为副组长的领导小组。组织做好预警监测、高额费用化解、联动帮扶、“慈善医疗救助共富基金”设立及规范使用等工作，确保政策落地、待遇落实、群众得实惠。各乡镇（街道）要充分发挥组织动员优势和一线宣传服务优势，将本辖区困难群众人员识别、预警监测、医疗保障等工作纳入基层“四个平台”、网格化管理为载体的日常性工作，及时主动帮助困难群众。</w:t>
      </w:r>
    </w:p>
    <w:p>
      <w:pPr>
        <w:keepNext w:val="0"/>
        <w:keepLines w:val="0"/>
        <w:pageBreakBefore w:val="0"/>
        <w:wordWrap/>
        <w:overflowPunct/>
        <w:topLinePunct w:val="0"/>
        <w:bidi w:val="0"/>
        <w:spacing w:line="560" w:lineRule="exact"/>
        <w:ind w:right="34" w:firstLine="664" w:firstLineChars="200"/>
        <w:rPr>
          <w:rFonts w:hint="eastAsia" w:ascii="仿宋_GB2312" w:hAnsi="仿宋_GB2312" w:eastAsia="仿宋_GB2312" w:cs="仿宋_GB2312"/>
          <w:spacing w:val="-6"/>
          <w:kern w:val="2"/>
          <w:sz w:val="32"/>
          <w:szCs w:val="32"/>
          <w:lang w:val="en-US" w:eastAsia="zh-CN" w:bidi="ar-SA"/>
        </w:rPr>
      </w:pPr>
      <w:r>
        <w:rPr>
          <w:rFonts w:hint="eastAsia" w:ascii="楷体" w:hAnsi="楷体" w:eastAsia="楷体" w:cs="楷体"/>
          <w:spacing w:val="6"/>
          <w:sz w:val="32"/>
          <w:szCs w:val="32"/>
        </w:rPr>
        <w:t>（二</w:t>
      </w:r>
      <w:r>
        <w:rPr>
          <w:rFonts w:hint="eastAsia" w:ascii="楷体" w:hAnsi="楷体" w:eastAsia="楷体" w:cs="楷体"/>
          <w:spacing w:val="7"/>
          <w:sz w:val="32"/>
          <w:szCs w:val="32"/>
        </w:rPr>
        <w:t>）</w:t>
      </w:r>
      <w:r>
        <w:rPr>
          <w:rFonts w:hint="eastAsia" w:ascii="楷体" w:hAnsi="楷体" w:eastAsia="楷体" w:cs="楷体"/>
          <w:spacing w:val="5"/>
          <w:sz w:val="32"/>
          <w:szCs w:val="32"/>
        </w:rPr>
        <w:t>强化部门协同</w:t>
      </w:r>
      <w:r>
        <w:rPr>
          <w:rFonts w:hint="eastAsia" w:ascii="楷体" w:hAnsi="楷体" w:eastAsia="楷体" w:cs="楷体"/>
          <w:spacing w:val="7"/>
          <w:sz w:val="32"/>
          <w:szCs w:val="32"/>
        </w:rPr>
        <w:t>。</w:t>
      </w:r>
      <w:r>
        <w:rPr>
          <w:rFonts w:hint="eastAsia" w:ascii="仿宋_GB2312" w:hAnsi="仿宋_GB2312" w:eastAsia="仿宋_GB2312" w:cs="仿宋_GB2312"/>
          <w:spacing w:val="-6"/>
          <w:kern w:val="2"/>
          <w:sz w:val="32"/>
          <w:szCs w:val="32"/>
          <w:lang w:val="en-US" w:eastAsia="zh-CN" w:bidi="ar-SA"/>
        </w:rPr>
        <w:t>各部门要履行好自身职责，主动协调配合，形成齐抓共管工作格局。医保部门要健全高质量、多层次的医疗保障体系，强化政策供给，优化经办服务，推动实行“一站式”服务、“一窗式”办理，提高结算服务便利性；卫生健康部门负责指导各医疗机构建立健全咨询宣传、医疗安全质量管理、规范诊疗路径、家庭医生签约服务等工作制度，并进行监督检查等；民政部门做好特困、低保、低边等困难群众认定工作，会同相关部门做好因病致贫重病患者认定和相关信息共享，支持慈善救助发展；财政部门做好困难群众资助参保、医疗救助等资金保障工作。工商联积极引导更多温商、乡贤及爱心人士帮扶困难群众；银保监部门负责加强对商业保险机构承办大病保险的行业监管，规范商业健康保险发展；教育、人社、农业农村、总工会、残联、红十字会等单位按职责做好帮扶。</w:t>
      </w:r>
    </w:p>
    <w:p>
      <w:pPr>
        <w:keepNext w:val="0"/>
        <w:keepLines w:val="0"/>
        <w:pageBreakBefore w:val="0"/>
        <w:wordWrap/>
        <w:overflowPunct/>
        <w:topLinePunct w:val="0"/>
        <w:bidi w:val="0"/>
        <w:spacing w:line="560" w:lineRule="exact"/>
        <w:ind w:firstLine="644" w:firstLineChars="200"/>
        <w:rPr>
          <w:rFonts w:hint="eastAsia" w:ascii="仿宋_GB2312" w:hAnsi="仿宋_GB2312" w:eastAsia="仿宋_GB2312" w:cs="仿宋_GB2312"/>
          <w:spacing w:val="-6"/>
          <w:kern w:val="2"/>
          <w:sz w:val="32"/>
          <w:szCs w:val="32"/>
          <w:lang w:val="en-US" w:eastAsia="zh-CN" w:bidi="ar-SA"/>
        </w:rPr>
      </w:pPr>
      <w:r>
        <w:rPr>
          <w:rFonts w:hint="eastAsia" w:ascii="楷体" w:hAnsi="楷体" w:eastAsia="楷体" w:cs="楷体"/>
          <w:spacing w:val="1"/>
          <w:sz w:val="32"/>
          <w:szCs w:val="32"/>
        </w:rPr>
        <w:t>（三）创新多元投入。</w:t>
      </w:r>
      <w:r>
        <w:rPr>
          <w:rFonts w:hint="eastAsia" w:ascii="仿宋_GB2312" w:hAnsi="仿宋_GB2312" w:eastAsia="仿宋_GB2312" w:cs="仿宋_GB2312"/>
          <w:spacing w:val="-6"/>
          <w:kern w:val="2"/>
          <w:sz w:val="32"/>
          <w:szCs w:val="32"/>
          <w:lang w:val="en-US" w:eastAsia="zh-CN" w:bidi="ar-SA"/>
        </w:rPr>
        <w:t>整合政府、社会、慈善等多方资源，努力建立社会力量参与机制和可持续的资金保障机制，探索“政府主导+社会参与”的筹资模式，加大资金保障力度和政策支持力度。高效整合临时救助、应急救助、慈善救助等资金。</w:t>
      </w:r>
    </w:p>
    <w:p>
      <w:pPr>
        <w:keepNext w:val="0"/>
        <w:keepLines w:val="0"/>
        <w:pageBreakBefore w:val="0"/>
        <w:wordWrap/>
        <w:overflowPunct/>
        <w:topLinePunct w:val="0"/>
        <w:bidi w:val="0"/>
        <w:spacing w:line="560" w:lineRule="exact"/>
        <w:ind w:firstLine="664" w:firstLineChars="200"/>
        <w:rPr>
          <w:rFonts w:hint="eastAsia" w:ascii="仿宋_GB2312" w:hAnsi="仿宋_GB2312" w:eastAsia="仿宋_GB2312" w:cs="仿宋_GB2312"/>
          <w:spacing w:val="-6"/>
          <w:kern w:val="2"/>
          <w:sz w:val="32"/>
          <w:szCs w:val="32"/>
          <w:lang w:val="en-US" w:eastAsia="zh-CN" w:bidi="ar-SA"/>
        </w:rPr>
      </w:pPr>
      <w:r>
        <w:rPr>
          <w:rFonts w:hint="eastAsia" w:ascii="楷体" w:hAnsi="楷体" w:eastAsia="楷体" w:cs="楷体"/>
          <w:spacing w:val="6"/>
          <w:sz w:val="32"/>
          <w:szCs w:val="32"/>
        </w:rPr>
        <w:t>（四）加强督查</w:t>
      </w:r>
      <w:r>
        <w:rPr>
          <w:rFonts w:hint="eastAsia" w:ascii="楷体" w:hAnsi="楷体" w:eastAsia="楷体" w:cs="楷体"/>
          <w:spacing w:val="5"/>
          <w:sz w:val="32"/>
          <w:szCs w:val="32"/>
        </w:rPr>
        <w:t>考核</w:t>
      </w:r>
      <w:r>
        <w:rPr>
          <w:rFonts w:hint="eastAsia" w:ascii="楷体" w:hAnsi="楷体" w:eastAsia="楷体" w:cs="楷体"/>
          <w:spacing w:val="6"/>
          <w:sz w:val="32"/>
          <w:szCs w:val="32"/>
        </w:rPr>
        <w:t>。</w:t>
      </w:r>
      <w:r>
        <w:rPr>
          <w:rFonts w:hint="eastAsia" w:ascii="仿宋_GB2312" w:hAnsi="仿宋_GB2312" w:eastAsia="仿宋_GB2312" w:cs="仿宋_GB2312"/>
          <w:spacing w:val="-6"/>
          <w:kern w:val="2"/>
          <w:sz w:val="32"/>
          <w:szCs w:val="32"/>
          <w:lang w:val="en-US" w:eastAsia="zh-CN" w:bidi="ar-SA"/>
        </w:rPr>
        <w:t>将防范化解困难群众因病致贫返贫列入相关部门工作责任制目标考核内容，逐步建立完善考核评价体系，实行清单化管理、销号制落实、跟踪式考核，加大对各部门实施情况的督查力度，跟踪通报进展情况。加强政策宣传解读，积极回应社会关切，广泛凝聚社会共识。</w:t>
      </w:r>
    </w:p>
    <w:p>
      <w:pPr>
        <w:keepNext w:val="0"/>
        <w:keepLines w:val="0"/>
        <w:pageBreakBefore w:val="0"/>
        <w:wordWrap/>
        <w:overflowPunct/>
        <w:topLinePunct w:val="0"/>
        <w:bidi w:val="0"/>
        <w:spacing w:line="560" w:lineRule="exact"/>
        <w:ind w:firstLine="616" w:firstLineChars="200"/>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本方案自2022年1月1日起施行，有效期至2025年12月31日。</w:t>
      </w:r>
    </w:p>
    <w:p>
      <w:pPr>
        <w:keepNext w:val="0"/>
        <w:keepLines w:val="0"/>
        <w:pageBreakBefore w:val="0"/>
        <w:wordWrap/>
        <w:overflowPunct/>
        <w:topLinePunct w:val="0"/>
        <w:bidi w:val="0"/>
        <w:spacing w:line="560" w:lineRule="exact"/>
        <w:ind w:firstLine="616" w:firstLineChars="200"/>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sz w:val="32"/>
          <w:lang w:val="en-US" w:eastAsia="zh-CN"/>
        </w:rPr>
      </w:pPr>
    </w:p>
    <w:sectPr>
      <w:headerReference r:id="rId3" w:type="default"/>
      <w:footerReference r:id="rId4" w:type="default"/>
      <w:footerReference r:id="rId5" w:type="even"/>
      <w:pgSz w:w="11906" w:h="16838"/>
      <w:pgMar w:top="2098" w:right="1474" w:bottom="1984" w:left="1587" w:header="1701" w:footer="992" w:gutter="0"/>
      <w:pgNumType w:fmt="decimalFullWidth"/>
      <w:cols w:space="425" w:num="1"/>
      <w:docGrid w:type="lines" w:linePitch="574" w:charSpace="200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eastAsia="宋体"/>
        <w:sz w:val="28"/>
        <w:szCs w:val="28"/>
      </w:rPr>
    </w:pPr>
    <w:r>
      <w:rPr>
        <w:rStyle w:val="11"/>
        <w:rFonts w:hint="eastAsia" w:ascii="宋体" w:hAnsi="宋体" w:eastAsia="宋体"/>
        <w:sz w:val="28"/>
        <w:szCs w:val="28"/>
      </w:rPr>
      <w:t>—</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２</w:t>
    </w:r>
    <w:r>
      <w:rPr>
        <w:rStyle w:val="11"/>
        <w:rFonts w:ascii="宋体" w:hAnsi="宋体" w:eastAsia="宋体"/>
        <w:sz w:val="28"/>
        <w:szCs w:val="28"/>
      </w:rPr>
      <w:fldChar w:fldCharType="end"/>
    </w:r>
    <w:r>
      <w:rPr>
        <w:rStyle w:val="11"/>
        <w:rFonts w:hint="eastAsia" w:ascii="宋体" w:hAnsi="宋体" w:eastAsia="宋体"/>
        <w:sz w:val="28"/>
        <w:szCs w:val="28"/>
      </w:rPr>
      <w:t>—</w:t>
    </w:r>
  </w:p>
  <w:p>
    <w:pPr>
      <w:pStyle w:val="6"/>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F54DA"/>
    <w:multiLevelType w:val="singleLevel"/>
    <w:tmpl w:val="B0EF54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24"/>
    <w:rsid w:val="00012701"/>
    <w:rsid w:val="0001277B"/>
    <w:rsid w:val="00024A02"/>
    <w:rsid w:val="000264D3"/>
    <w:rsid w:val="000273C5"/>
    <w:rsid w:val="00030504"/>
    <w:rsid w:val="00030B73"/>
    <w:rsid w:val="000370E7"/>
    <w:rsid w:val="000375F0"/>
    <w:rsid w:val="00037EDC"/>
    <w:rsid w:val="00041573"/>
    <w:rsid w:val="00044C82"/>
    <w:rsid w:val="0005033F"/>
    <w:rsid w:val="000555F2"/>
    <w:rsid w:val="000571B3"/>
    <w:rsid w:val="00057FA9"/>
    <w:rsid w:val="00060B8F"/>
    <w:rsid w:val="00060DD7"/>
    <w:rsid w:val="00060F91"/>
    <w:rsid w:val="000641E5"/>
    <w:rsid w:val="00070BEA"/>
    <w:rsid w:val="00073E44"/>
    <w:rsid w:val="000766F7"/>
    <w:rsid w:val="0008339C"/>
    <w:rsid w:val="000905F5"/>
    <w:rsid w:val="00092C5E"/>
    <w:rsid w:val="00093939"/>
    <w:rsid w:val="000A60AA"/>
    <w:rsid w:val="000A7E49"/>
    <w:rsid w:val="000C59C0"/>
    <w:rsid w:val="000D4205"/>
    <w:rsid w:val="000E7E93"/>
    <w:rsid w:val="000F218E"/>
    <w:rsid w:val="000F28E7"/>
    <w:rsid w:val="000F3560"/>
    <w:rsid w:val="000F4EC1"/>
    <w:rsid w:val="000F67C9"/>
    <w:rsid w:val="00103B6A"/>
    <w:rsid w:val="00123626"/>
    <w:rsid w:val="00125D4B"/>
    <w:rsid w:val="0013393B"/>
    <w:rsid w:val="00134D95"/>
    <w:rsid w:val="001422CF"/>
    <w:rsid w:val="0014477E"/>
    <w:rsid w:val="00144C48"/>
    <w:rsid w:val="00146886"/>
    <w:rsid w:val="0014694C"/>
    <w:rsid w:val="00150948"/>
    <w:rsid w:val="00150F9A"/>
    <w:rsid w:val="00152265"/>
    <w:rsid w:val="00152A6B"/>
    <w:rsid w:val="001577C5"/>
    <w:rsid w:val="001607F7"/>
    <w:rsid w:val="00170127"/>
    <w:rsid w:val="0017071B"/>
    <w:rsid w:val="00172A29"/>
    <w:rsid w:val="0017635D"/>
    <w:rsid w:val="00180729"/>
    <w:rsid w:val="001905F1"/>
    <w:rsid w:val="00190C8C"/>
    <w:rsid w:val="001925D8"/>
    <w:rsid w:val="001A1821"/>
    <w:rsid w:val="001A52ED"/>
    <w:rsid w:val="001B0B3C"/>
    <w:rsid w:val="001B45B5"/>
    <w:rsid w:val="001B70C3"/>
    <w:rsid w:val="001B73F0"/>
    <w:rsid w:val="001B7647"/>
    <w:rsid w:val="001B7EFD"/>
    <w:rsid w:val="001C32D9"/>
    <w:rsid w:val="001C6867"/>
    <w:rsid w:val="001D0D84"/>
    <w:rsid w:val="001D16F3"/>
    <w:rsid w:val="001D37C6"/>
    <w:rsid w:val="001D504E"/>
    <w:rsid w:val="001D6A85"/>
    <w:rsid w:val="001E2FD6"/>
    <w:rsid w:val="001E3183"/>
    <w:rsid w:val="001F15AE"/>
    <w:rsid w:val="001F3798"/>
    <w:rsid w:val="001F633E"/>
    <w:rsid w:val="0020477A"/>
    <w:rsid w:val="002116C5"/>
    <w:rsid w:val="0021291F"/>
    <w:rsid w:val="00212ADD"/>
    <w:rsid w:val="002159B3"/>
    <w:rsid w:val="00220ECD"/>
    <w:rsid w:val="00224628"/>
    <w:rsid w:val="00225E5B"/>
    <w:rsid w:val="0022715A"/>
    <w:rsid w:val="00232AAC"/>
    <w:rsid w:val="0023680C"/>
    <w:rsid w:val="00241A1F"/>
    <w:rsid w:val="00244EFC"/>
    <w:rsid w:val="002468AC"/>
    <w:rsid w:val="00253042"/>
    <w:rsid w:val="00255921"/>
    <w:rsid w:val="00255970"/>
    <w:rsid w:val="002568B1"/>
    <w:rsid w:val="00264AE6"/>
    <w:rsid w:val="00267AC6"/>
    <w:rsid w:val="00272052"/>
    <w:rsid w:val="00272359"/>
    <w:rsid w:val="002745BB"/>
    <w:rsid w:val="00274AB5"/>
    <w:rsid w:val="00283CA8"/>
    <w:rsid w:val="0028638D"/>
    <w:rsid w:val="002868F1"/>
    <w:rsid w:val="00296642"/>
    <w:rsid w:val="002A1F3A"/>
    <w:rsid w:val="002A3332"/>
    <w:rsid w:val="002A52DF"/>
    <w:rsid w:val="002B26EA"/>
    <w:rsid w:val="002B2B36"/>
    <w:rsid w:val="002B2E1A"/>
    <w:rsid w:val="002B3342"/>
    <w:rsid w:val="002B6D85"/>
    <w:rsid w:val="002B7FE4"/>
    <w:rsid w:val="002C6195"/>
    <w:rsid w:val="002D1C30"/>
    <w:rsid w:val="002D33FE"/>
    <w:rsid w:val="002E0EE5"/>
    <w:rsid w:val="002E293F"/>
    <w:rsid w:val="002E2B5D"/>
    <w:rsid w:val="002E65D0"/>
    <w:rsid w:val="002F1779"/>
    <w:rsid w:val="002F655D"/>
    <w:rsid w:val="00300365"/>
    <w:rsid w:val="00301BC8"/>
    <w:rsid w:val="00302EEA"/>
    <w:rsid w:val="0030329C"/>
    <w:rsid w:val="00311C43"/>
    <w:rsid w:val="00312EA9"/>
    <w:rsid w:val="00313665"/>
    <w:rsid w:val="00315B13"/>
    <w:rsid w:val="00323203"/>
    <w:rsid w:val="003319CB"/>
    <w:rsid w:val="00332DE7"/>
    <w:rsid w:val="00334BAB"/>
    <w:rsid w:val="00336CB1"/>
    <w:rsid w:val="003400ED"/>
    <w:rsid w:val="003423AD"/>
    <w:rsid w:val="00342481"/>
    <w:rsid w:val="003428BC"/>
    <w:rsid w:val="003478D0"/>
    <w:rsid w:val="0036516D"/>
    <w:rsid w:val="00366C8E"/>
    <w:rsid w:val="00370E9C"/>
    <w:rsid w:val="00377BC0"/>
    <w:rsid w:val="003843E1"/>
    <w:rsid w:val="003844F1"/>
    <w:rsid w:val="00384E68"/>
    <w:rsid w:val="00387C68"/>
    <w:rsid w:val="003A1C27"/>
    <w:rsid w:val="003A3A18"/>
    <w:rsid w:val="003B45F0"/>
    <w:rsid w:val="003C5047"/>
    <w:rsid w:val="003C592F"/>
    <w:rsid w:val="003D1D6A"/>
    <w:rsid w:val="003D3DD2"/>
    <w:rsid w:val="003E18F2"/>
    <w:rsid w:val="003E2149"/>
    <w:rsid w:val="003E30C7"/>
    <w:rsid w:val="003E72DB"/>
    <w:rsid w:val="003F21DD"/>
    <w:rsid w:val="003F234E"/>
    <w:rsid w:val="003F4CDC"/>
    <w:rsid w:val="003F5134"/>
    <w:rsid w:val="003F7223"/>
    <w:rsid w:val="00406A76"/>
    <w:rsid w:val="00413DEC"/>
    <w:rsid w:val="00415FF3"/>
    <w:rsid w:val="00417A2C"/>
    <w:rsid w:val="00425F32"/>
    <w:rsid w:val="00427A63"/>
    <w:rsid w:val="00433F66"/>
    <w:rsid w:val="00437924"/>
    <w:rsid w:val="004419F5"/>
    <w:rsid w:val="00441EB3"/>
    <w:rsid w:val="0044265F"/>
    <w:rsid w:val="00445E55"/>
    <w:rsid w:val="00453517"/>
    <w:rsid w:val="004544C8"/>
    <w:rsid w:val="004701EB"/>
    <w:rsid w:val="0047044A"/>
    <w:rsid w:val="0047046D"/>
    <w:rsid w:val="00470AE7"/>
    <w:rsid w:val="004738A8"/>
    <w:rsid w:val="004743E4"/>
    <w:rsid w:val="004804E9"/>
    <w:rsid w:val="00491784"/>
    <w:rsid w:val="00491F7A"/>
    <w:rsid w:val="00493EA6"/>
    <w:rsid w:val="00494024"/>
    <w:rsid w:val="00497EC5"/>
    <w:rsid w:val="004A1CE8"/>
    <w:rsid w:val="004C4194"/>
    <w:rsid w:val="004C45D9"/>
    <w:rsid w:val="004C6586"/>
    <w:rsid w:val="004C66CC"/>
    <w:rsid w:val="004C694C"/>
    <w:rsid w:val="004D098C"/>
    <w:rsid w:val="004D141D"/>
    <w:rsid w:val="004D4B69"/>
    <w:rsid w:val="004D58D4"/>
    <w:rsid w:val="004D64EC"/>
    <w:rsid w:val="004D6ED1"/>
    <w:rsid w:val="004D781C"/>
    <w:rsid w:val="004E5102"/>
    <w:rsid w:val="004E6837"/>
    <w:rsid w:val="004F35C5"/>
    <w:rsid w:val="005035D3"/>
    <w:rsid w:val="00504669"/>
    <w:rsid w:val="00510F18"/>
    <w:rsid w:val="00511657"/>
    <w:rsid w:val="00511816"/>
    <w:rsid w:val="005201F6"/>
    <w:rsid w:val="00520F7F"/>
    <w:rsid w:val="0052180E"/>
    <w:rsid w:val="00525F15"/>
    <w:rsid w:val="005261EC"/>
    <w:rsid w:val="00526B41"/>
    <w:rsid w:val="00531DDC"/>
    <w:rsid w:val="00532271"/>
    <w:rsid w:val="00540CBD"/>
    <w:rsid w:val="00543B2C"/>
    <w:rsid w:val="0055114F"/>
    <w:rsid w:val="00552AF5"/>
    <w:rsid w:val="005565D8"/>
    <w:rsid w:val="0055666B"/>
    <w:rsid w:val="00557C8B"/>
    <w:rsid w:val="00557CF6"/>
    <w:rsid w:val="005717BF"/>
    <w:rsid w:val="00581D8C"/>
    <w:rsid w:val="0058480A"/>
    <w:rsid w:val="00590CC2"/>
    <w:rsid w:val="00592FDD"/>
    <w:rsid w:val="0059463E"/>
    <w:rsid w:val="005A4586"/>
    <w:rsid w:val="005B50B3"/>
    <w:rsid w:val="005B67D3"/>
    <w:rsid w:val="005B713F"/>
    <w:rsid w:val="005B786D"/>
    <w:rsid w:val="005C2CE5"/>
    <w:rsid w:val="005C4114"/>
    <w:rsid w:val="005C4D5A"/>
    <w:rsid w:val="005D6777"/>
    <w:rsid w:val="005D74F6"/>
    <w:rsid w:val="005E5633"/>
    <w:rsid w:val="005E5B60"/>
    <w:rsid w:val="005E666D"/>
    <w:rsid w:val="005F1088"/>
    <w:rsid w:val="005F2621"/>
    <w:rsid w:val="005F6B45"/>
    <w:rsid w:val="00600DB9"/>
    <w:rsid w:val="00603699"/>
    <w:rsid w:val="00605C31"/>
    <w:rsid w:val="006071AF"/>
    <w:rsid w:val="006076A9"/>
    <w:rsid w:val="00621E56"/>
    <w:rsid w:val="006327A4"/>
    <w:rsid w:val="00642F7B"/>
    <w:rsid w:val="00645C3C"/>
    <w:rsid w:val="006512F8"/>
    <w:rsid w:val="00653FE6"/>
    <w:rsid w:val="00656186"/>
    <w:rsid w:val="00657C9B"/>
    <w:rsid w:val="0066531F"/>
    <w:rsid w:val="00665CEA"/>
    <w:rsid w:val="00667A31"/>
    <w:rsid w:val="00667C21"/>
    <w:rsid w:val="006774F0"/>
    <w:rsid w:val="006806B5"/>
    <w:rsid w:val="00681612"/>
    <w:rsid w:val="0068411C"/>
    <w:rsid w:val="00684D6E"/>
    <w:rsid w:val="006853E6"/>
    <w:rsid w:val="00690166"/>
    <w:rsid w:val="00692632"/>
    <w:rsid w:val="00694925"/>
    <w:rsid w:val="00696BD6"/>
    <w:rsid w:val="006A0B27"/>
    <w:rsid w:val="006A0B2B"/>
    <w:rsid w:val="006A4B17"/>
    <w:rsid w:val="006B0082"/>
    <w:rsid w:val="006B4047"/>
    <w:rsid w:val="006B7721"/>
    <w:rsid w:val="006B7FB5"/>
    <w:rsid w:val="006D0F68"/>
    <w:rsid w:val="006D3684"/>
    <w:rsid w:val="006E6467"/>
    <w:rsid w:val="006F00DD"/>
    <w:rsid w:val="007045C0"/>
    <w:rsid w:val="00710176"/>
    <w:rsid w:val="00710550"/>
    <w:rsid w:val="00714807"/>
    <w:rsid w:val="00715732"/>
    <w:rsid w:val="0072316D"/>
    <w:rsid w:val="00734353"/>
    <w:rsid w:val="0074395C"/>
    <w:rsid w:val="007461F9"/>
    <w:rsid w:val="007502DC"/>
    <w:rsid w:val="00752FBD"/>
    <w:rsid w:val="0075353F"/>
    <w:rsid w:val="00753D36"/>
    <w:rsid w:val="0075505E"/>
    <w:rsid w:val="00761E02"/>
    <w:rsid w:val="007635C5"/>
    <w:rsid w:val="00765C17"/>
    <w:rsid w:val="00771958"/>
    <w:rsid w:val="0077436B"/>
    <w:rsid w:val="007753D2"/>
    <w:rsid w:val="00775F89"/>
    <w:rsid w:val="00780C84"/>
    <w:rsid w:val="00786869"/>
    <w:rsid w:val="00790957"/>
    <w:rsid w:val="00794F57"/>
    <w:rsid w:val="007A17C4"/>
    <w:rsid w:val="007A42CE"/>
    <w:rsid w:val="007A56B0"/>
    <w:rsid w:val="007A5961"/>
    <w:rsid w:val="007B71B5"/>
    <w:rsid w:val="007C27EE"/>
    <w:rsid w:val="007C542C"/>
    <w:rsid w:val="007D04CE"/>
    <w:rsid w:val="007D4470"/>
    <w:rsid w:val="007D4F4E"/>
    <w:rsid w:val="007E011C"/>
    <w:rsid w:val="007E0530"/>
    <w:rsid w:val="007E2769"/>
    <w:rsid w:val="007E2DF1"/>
    <w:rsid w:val="007E44AB"/>
    <w:rsid w:val="007F1EEB"/>
    <w:rsid w:val="007F345E"/>
    <w:rsid w:val="007F3A37"/>
    <w:rsid w:val="007F4321"/>
    <w:rsid w:val="007F5BE6"/>
    <w:rsid w:val="00800120"/>
    <w:rsid w:val="00802673"/>
    <w:rsid w:val="00806DFA"/>
    <w:rsid w:val="00810F6D"/>
    <w:rsid w:val="0081159D"/>
    <w:rsid w:val="0081662C"/>
    <w:rsid w:val="008210D4"/>
    <w:rsid w:val="00830CC1"/>
    <w:rsid w:val="008348D5"/>
    <w:rsid w:val="00852C42"/>
    <w:rsid w:val="0085752A"/>
    <w:rsid w:val="008602AC"/>
    <w:rsid w:val="008632A4"/>
    <w:rsid w:val="008716F6"/>
    <w:rsid w:val="00872920"/>
    <w:rsid w:val="00874074"/>
    <w:rsid w:val="00874314"/>
    <w:rsid w:val="0088494B"/>
    <w:rsid w:val="0088561C"/>
    <w:rsid w:val="00886D96"/>
    <w:rsid w:val="00887AD6"/>
    <w:rsid w:val="008915EC"/>
    <w:rsid w:val="00897DB8"/>
    <w:rsid w:val="008A4EC3"/>
    <w:rsid w:val="008B0DC0"/>
    <w:rsid w:val="008B1167"/>
    <w:rsid w:val="008B3287"/>
    <w:rsid w:val="008C0C9E"/>
    <w:rsid w:val="008C2080"/>
    <w:rsid w:val="008C2A09"/>
    <w:rsid w:val="008C5B93"/>
    <w:rsid w:val="008D12D9"/>
    <w:rsid w:val="008D2C88"/>
    <w:rsid w:val="008D4938"/>
    <w:rsid w:val="008D55A2"/>
    <w:rsid w:val="008D79B8"/>
    <w:rsid w:val="008E07D7"/>
    <w:rsid w:val="008E1343"/>
    <w:rsid w:val="008E1F0B"/>
    <w:rsid w:val="008F0A77"/>
    <w:rsid w:val="008F25A7"/>
    <w:rsid w:val="008F7720"/>
    <w:rsid w:val="00904B9A"/>
    <w:rsid w:val="00906DFC"/>
    <w:rsid w:val="00912205"/>
    <w:rsid w:val="00913B3E"/>
    <w:rsid w:val="00916D66"/>
    <w:rsid w:val="00917D30"/>
    <w:rsid w:val="00927FFC"/>
    <w:rsid w:val="009310C9"/>
    <w:rsid w:val="009344B1"/>
    <w:rsid w:val="00934D85"/>
    <w:rsid w:val="00945882"/>
    <w:rsid w:val="00945987"/>
    <w:rsid w:val="0094647B"/>
    <w:rsid w:val="00952900"/>
    <w:rsid w:val="00953379"/>
    <w:rsid w:val="0095431D"/>
    <w:rsid w:val="00955AAD"/>
    <w:rsid w:val="00957803"/>
    <w:rsid w:val="009606FE"/>
    <w:rsid w:val="00961073"/>
    <w:rsid w:val="00965325"/>
    <w:rsid w:val="00967600"/>
    <w:rsid w:val="0097482A"/>
    <w:rsid w:val="00975B67"/>
    <w:rsid w:val="00976832"/>
    <w:rsid w:val="00980AC2"/>
    <w:rsid w:val="00981FE1"/>
    <w:rsid w:val="009863A2"/>
    <w:rsid w:val="009910C1"/>
    <w:rsid w:val="00993019"/>
    <w:rsid w:val="00994B7F"/>
    <w:rsid w:val="00994DFF"/>
    <w:rsid w:val="009957AE"/>
    <w:rsid w:val="009A19A6"/>
    <w:rsid w:val="009A3854"/>
    <w:rsid w:val="009A4F56"/>
    <w:rsid w:val="009A5A40"/>
    <w:rsid w:val="009A6548"/>
    <w:rsid w:val="009B5211"/>
    <w:rsid w:val="009B69CB"/>
    <w:rsid w:val="009B720F"/>
    <w:rsid w:val="009C6CB8"/>
    <w:rsid w:val="009D2984"/>
    <w:rsid w:val="009D49D9"/>
    <w:rsid w:val="009D616B"/>
    <w:rsid w:val="009E1F2E"/>
    <w:rsid w:val="009E2F0F"/>
    <w:rsid w:val="009F016F"/>
    <w:rsid w:val="009F255D"/>
    <w:rsid w:val="009F580E"/>
    <w:rsid w:val="009F6334"/>
    <w:rsid w:val="00A00711"/>
    <w:rsid w:val="00A00A0D"/>
    <w:rsid w:val="00A00D77"/>
    <w:rsid w:val="00A0258E"/>
    <w:rsid w:val="00A1204B"/>
    <w:rsid w:val="00A12346"/>
    <w:rsid w:val="00A17A7E"/>
    <w:rsid w:val="00A17D76"/>
    <w:rsid w:val="00A24F4A"/>
    <w:rsid w:val="00A256D7"/>
    <w:rsid w:val="00A26F0A"/>
    <w:rsid w:val="00A35634"/>
    <w:rsid w:val="00A36FA7"/>
    <w:rsid w:val="00A370B2"/>
    <w:rsid w:val="00A43D68"/>
    <w:rsid w:val="00A537AB"/>
    <w:rsid w:val="00A55264"/>
    <w:rsid w:val="00A55917"/>
    <w:rsid w:val="00A57DBF"/>
    <w:rsid w:val="00A60764"/>
    <w:rsid w:val="00A63A9B"/>
    <w:rsid w:val="00A65C59"/>
    <w:rsid w:val="00A70603"/>
    <w:rsid w:val="00A721A8"/>
    <w:rsid w:val="00A73D8B"/>
    <w:rsid w:val="00A919EA"/>
    <w:rsid w:val="00AA4E44"/>
    <w:rsid w:val="00AA7AF2"/>
    <w:rsid w:val="00AB3A65"/>
    <w:rsid w:val="00AB4FA4"/>
    <w:rsid w:val="00AB5E2E"/>
    <w:rsid w:val="00AC20F3"/>
    <w:rsid w:val="00AC38A8"/>
    <w:rsid w:val="00AC7802"/>
    <w:rsid w:val="00AD5486"/>
    <w:rsid w:val="00AD6E4D"/>
    <w:rsid w:val="00AD7BCA"/>
    <w:rsid w:val="00AE0611"/>
    <w:rsid w:val="00AE674C"/>
    <w:rsid w:val="00AE75AB"/>
    <w:rsid w:val="00AF49B4"/>
    <w:rsid w:val="00AF6601"/>
    <w:rsid w:val="00AF6734"/>
    <w:rsid w:val="00B07D53"/>
    <w:rsid w:val="00B14C24"/>
    <w:rsid w:val="00B15B24"/>
    <w:rsid w:val="00B15CEE"/>
    <w:rsid w:val="00B208F9"/>
    <w:rsid w:val="00B21107"/>
    <w:rsid w:val="00B236C3"/>
    <w:rsid w:val="00B238BE"/>
    <w:rsid w:val="00B25F70"/>
    <w:rsid w:val="00B33769"/>
    <w:rsid w:val="00B33915"/>
    <w:rsid w:val="00B34E15"/>
    <w:rsid w:val="00B35396"/>
    <w:rsid w:val="00B35F97"/>
    <w:rsid w:val="00B50ECA"/>
    <w:rsid w:val="00B5271C"/>
    <w:rsid w:val="00B561E6"/>
    <w:rsid w:val="00B60713"/>
    <w:rsid w:val="00B658F1"/>
    <w:rsid w:val="00B66492"/>
    <w:rsid w:val="00B76944"/>
    <w:rsid w:val="00B83187"/>
    <w:rsid w:val="00B844B7"/>
    <w:rsid w:val="00B86331"/>
    <w:rsid w:val="00B905E3"/>
    <w:rsid w:val="00B9121E"/>
    <w:rsid w:val="00B92C64"/>
    <w:rsid w:val="00B9618B"/>
    <w:rsid w:val="00BA29E3"/>
    <w:rsid w:val="00BB42CC"/>
    <w:rsid w:val="00BC02D1"/>
    <w:rsid w:val="00BC50D7"/>
    <w:rsid w:val="00BC53E8"/>
    <w:rsid w:val="00BD1333"/>
    <w:rsid w:val="00BD620F"/>
    <w:rsid w:val="00BD74B4"/>
    <w:rsid w:val="00BE3CCE"/>
    <w:rsid w:val="00BE5D4A"/>
    <w:rsid w:val="00BF35BE"/>
    <w:rsid w:val="00BF5B40"/>
    <w:rsid w:val="00BF5C0E"/>
    <w:rsid w:val="00C006E1"/>
    <w:rsid w:val="00C01BCC"/>
    <w:rsid w:val="00C02D9E"/>
    <w:rsid w:val="00C103BE"/>
    <w:rsid w:val="00C15612"/>
    <w:rsid w:val="00C22954"/>
    <w:rsid w:val="00C26934"/>
    <w:rsid w:val="00C3657F"/>
    <w:rsid w:val="00C37061"/>
    <w:rsid w:val="00C37734"/>
    <w:rsid w:val="00C50458"/>
    <w:rsid w:val="00C54E39"/>
    <w:rsid w:val="00C63E51"/>
    <w:rsid w:val="00C6665B"/>
    <w:rsid w:val="00C70D83"/>
    <w:rsid w:val="00C74489"/>
    <w:rsid w:val="00C75A65"/>
    <w:rsid w:val="00C85EF7"/>
    <w:rsid w:val="00C91B51"/>
    <w:rsid w:val="00C97B33"/>
    <w:rsid w:val="00CA5035"/>
    <w:rsid w:val="00CA5ED9"/>
    <w:rsid w:val="00CB74AA"/>
    <w:rsid w:val="00CC2B21"/>
    <w:rsid w:val="00CC3515"/>
    <w:rsid w:val="00CC7F9D"/>
    <w:rsid w:val="00CD0444"/>
    <w:rsid w:val="00CD2FC7"/>
    <w:rsid w:val="00CD50B4"/>
    <w:rsid w:val="00CE17FA"/>
    <w:rsid w:val="00CE44BC"/>
    <w:rsid w:val="00CE513E"/>
    <w:rsid w:val="00CE701D"/>
    <w:rsid w:val="00CF0BE2"/>
    <w:rsid w:val="00CF0F9B"/>
    <w:rsid w:val="00D0098E"/>
    <w:rsid w:val="00D12E7C"/>
    <w:rsid w:val="00D130A8"/>
    <w:rsid w:val="00D13974"/>
    <w:rsid w:val="00D13D17"/>
    <w:rsid w:val="00D16252"/>
    <w:rsid w:val="00D22419"/>
    <w:rsid w:val="00D309EF"/>
    <w:rsid w:val="00D349D0"/>
    <w:rsid w:val="00D36A23"/>
    <w:rsid w:val="00D55222"/>
    <w:rsid w:val="00D5597F"/>
    <w:rsid w:val="00D632EA"/>
    <w:rsid w:val="00D633E9"/>
    <w:rsid w:val="00D64731"/>
    <w:rsid w:val="00D70FD7"/>
    <w:rsid w:val="00D73A1D"/>
    <w:rsid w:val="00D7418F"/>
    <w:rsid w:val="00D751A3"/>
    <w:rsid w:val="00D755E6"/>
    <w:rsid w:val="00D77F14"/>
    <w:rsid w:val="00D80A60"/>
    <w:rsid w:val="00D86983"/>
    <w:rsid w:val="00D869D0"/>
    <w:rsid w:val="00DA3E34"/>
    <w:rsid w:val="00DA75AF"/>
    <w:rsid w:val="00DB0325"/>
    <w:rsid w:val="00DB0B0E"/>
    <w:rsid w:val="00DB0F50"/>
    <w:rsid w:val="00DB5C65"/>
    <w:rsid w:val="00DC1D49"/>
    <w:rsid w:val="00DC27E9"/>
    <w:rsid w:val="00DC716F"/>
    <w:rsid w:val="00DD421E"/>
    <w:rsid w:val="00DD5F1E"/>
    <w:rsid w:val="00DD6DB9"/>
    <w:rsid w:val="00DE7144"/>
    <w:rsid w:val="00DF6570"/>
    <w:rsid w:val="00E0312C"/>
    <w:rsid w:val="00E04381"/>
    <w:rsid w:val="00E056A9"/>
    <w:rsid w:val="00E118F6"/>
    <w:rsid w:val="00E11A98"/>
    <w:rsid w:val="00E144CC"/>
    <w:rsid w:val="00E16F19"/>
    <w:rsid w:val="00E26C4E"/>
    <w:rsid w:val="00E26DED"/>
    <w:rsid w:val="00E31208"/>
    <w:rsid w:val="00E33C94"/>
    <w:rsid w:val="00E35DFB"/>
    <w:rsid w:val="00E430E4"/>
    <w:rsid w:val="00E44069"/>
    <w:rsid w:val="00E4622D"/>
    <w:rsid w:val="00E5040B"/>
    <w:rsid w:val="00E50806"/>
    <w:rsid w:val="00E52087"/>
    <w:rsid w:val="00E5250D"/>
    <w:rsid w:val="00E54FA5"/>
    <w:rsid w:val="00E55827"/>
    <w:rsid w:val="00E55BA7"/>
    <w:rsid w:val="00E565D8"/>
    <w:rsid w:val="00E56CF0"/>
    <w:rsid w:val="00E56D3D"/>
    <w:rsid w:val="00E5796A"/>
    <w:rsid w:val="00E60548"/>
    <w:rsid w:val="00E64483"/>
    <w:rsid w:val="00E6582B"/>
    <w:rsid w:val="00E67363"/>
    <w:rsid w:val="00E719FE"/>
    <w:rsid w:val="00E72AAE"/>
    <w:rsid w:val="00E76915"/>
    <w:rsid w:val="00E8208C"/>
    <w:rsid w:val="00E84081"/>
    <w:rsid w:val="00E92F65"/>
    <w:rsid w:val="00E95F21"/>
    <w:rsid w:val="00E964FD"/>
    <w:rsid w:val="00EA4664"/>
    <w:rsid w:val="00EA6F92"/>
    <w:rsid w:val="00EC0DD6"/>
    <w:rsid w:val="00EC54B8"/>
    <w:rsid w:val="00ED1079"/>
    <w:rsid w:val="00EE5D3E"/>
    <w:rsid w:val="00EF0864"/>
    <w:rsid w:val="00EF19AB"/>
    <w:rsid w:val="00EF228E"/>
    <w:rsid w:val="00EF2B80"/>
    <w:rsid w:val="00EF59C9"/>
    <w:rsid w:val="00F01679"/>
    <w:rsid w:val="00F05246"/>
    <w:rsid w:val="00F07F15"/>
    <w:rsid w:val="00F10C5E"/>
    <w:rsid w:val="00F12C10"/>
    <w:rsid w:val="00F23C0F"/>
    <w:rsid w:val="00F24E59"/>
    <w:rsid w:val="00F25118"/>
    <w:rsid w:val="00F3722F"/>
    <w:rsid w:val="00F37800"/>
    <w:rsid w:val="00F4227A"/>
    <w:rsid w:val="00F47110"/>
    <w:rsid w:val="00F52E9B"/>
    <w:rsid w:val="00F5368A"/>
    <w:rsid w:val="00F65F99"/>
    <w:rsid w:val="00F66BCB"/>
    <w:rsid w:val="00F72601"/>
    <w:rsid w:val="00F77112"/>
    <w:rsid w:val="00F814CD"/>
    <w:rsid w:val="00F84203"/>
    <w:rsid w:val="00F8701C"/>
    <w:rsid w:val="00F9192A"/>
    <w:rsid w:val="00F91EAA"/>
    <w:rsid w:val="00FA08FA"/>
    <w:rsid w:val="00FA4826"/>
    <w:rsid w:val="00FA4B86"/>
    <w:rsid w:val="00FA4DEC"/>
    <w:rsid w:val="00FA69B1"/>
    <w:rsid w:val="00FB0715"/>
    <w:rsid w:val="00FB562B"/>
    <w:rsid w:val="00FC001C"/>
    <w:rsid w:val="00FC559B"/>
    <w:rsid w:val="00FD1F1A"/>
    <w:rsid w:val="00FD4A8C"/>
    <w:rsid w:val="00FD55AB"/>
    <w:rsid w:val="00FE3DF4"/>
    <w:rsid w:val="00FE465B"/>
    <w:rsid w:val="00FE49D5"/>
    <w:rsid w:val="00FF15E7"/>
    <w:rsid w:val="03B315F9"/>
    <w:rsid w:val="04790DC0"/>
    <w:rsid w:val="0ADE5AF7"/>
    <w:rsid w:val="22AD3BC5"/>
    <w:rsid w:val="274F32F7"/>
    <w:rsid w:val="2DDC3BFD"/>
    <w:rsid w:val="32686B0E"/>
    <w:rsid w:val="3A373BD8"/>
    <w:rsid w:val="4D3C4773"/>
    <w:rsid w:val="50B272C7"/>
    <w:rsid w:val="56164BC8"/>
    <w:rsid w:val="66ED4ACD"/>
    <w:rsid w:val="6DFB6AEE"/>
    <w:rsid w:val="7A8B6027"/>
    <w:rsid w:val="7E4E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sz w:val="28"/>
    </w:rPr>
  </w:style>
  <w:style w:type="paragraph" w:styleId="4">
    <w:name w:val="Date"/>
    <w:basedOn w:val="1"/>
    <w:next w:val="1"/>
    <w:link w:val="13"/>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rFonts w:eastAsia="仿宋_GB231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样式"/>
    <w:basedOn w:val="1"/>
    <w:qFormat/>
    <w:uiPriority w:val="99"/>
    <w:rPr>
      <w:rFonts w:eastAsia="仿宋_GB2312"/>
      <w:sz w:val="32"/>
      <w:szCs w:val="20"/>
    </w:rPr>
  </w:style>
  <w:style w:type="character" w:customStyle="1" w:styleId="13">
    <w:name w:val="日期 Char"/>
    <w:basedOn w:val="10"/>
    <w:link w:val="4"/>
    <w:qFormat/>
    <w:uiPriority w:val="0"/>
    <w:rPr>
      <w:rFonts w:ascii="Times New Roman" w:hAnsi="Times New Roman" w:eastAsia="宋体" w:cs="Times New Roman"/>
      <w:kern w:val="2"/>
      <w:sz w:val="21"/>
      <w:szCs w:val="24"/>
    </w:rPr>
  </w:style>
  <w:style w:type="paragraph" w:customStyle="1" w:styleId="14">
    <w:name w:val="公文正文"/>
    <w:basedOn w:val="15"/>
    <w:qFormat/>
    <w:uiPriority w:val="0"/>
    <w:pPr>
      <w:ind w:firstLine="200" w:firstLineChars="200"/>
      <w:jc w:val="both"/>
    </w:pPr>
    <w:rPr>
      <w:rFonts w:eastAsia="仿宋_GB2312"/>
      <w:sz w:val="32"/>
    </w:rPr>
  </w:style>
  <w:style w:type="paragraph" w:customStyle="1" w:styleId="15">
    <w:name w:val="公文标题"/>
    <w:basedOn w:val="1"/>
    <w:qFormat/>
    <w:uiPriority w:val="0"/>
    <w:pPr>
      <w:spacing w:line="560" w:lineRule="exact"/>
      <w:jc w:val="center"/>
    </w:pPr>
    <w:rPr>
      <w:rFonts w:ascii="Times New Roman" w:hAnsi="Times New Roman" w:eastAsia="方正小标宋简体"/>
      <w:color w:val="000000" w:themeColor="text1"/>
      <w:sz w:val="44"/>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BE9DF-D8F8-4E6F-B684-F40BD1BCDCC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5174</Words>
  <Characters>5255</Characters>
  <Lines>8</Lines>
  <Paragraphs>2</Paragraphs>
  <TotalTime>27</TotalTime>
  <ScaleCrop>false</ScaleCrop>
  <LinksUpToDate>false</LinksUpToDate>
  <CharactersWithSpaces>5320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2019-02-28T02:44:00Z</dcterms:created>
  <dc:creator>lenovo</dc:creator>
  <cp:lastModifiedBy>…………</cp:lastModifiedBy>
  <cp:lastPrinted>2019-08-16T09:25:00Z</cp:lastPrinted>
  <dcterms:modified xsi:type="dcterms:W3CDTF">2022-04-09T03:46:44Z</dcterms:modified>
  <dc:title>乐农办〔2016〕 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B0F79C53A2E34580812E4F7057E8679D</vt:lpwstr>
  </property>
</Properties>
</file>