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微软雅黑" w:eastAsia="方正小标宋_GBK" w:cstheme="minorBidi"/>
          <w:color w:val="111F2C"/>
          <w:sz w:val="44"/>
          <w:szCs w:val="44"/>
          <w:shd w:val="clear" w:color="auto" w:fill="FFFFFF"/>
        </w:rPr>
      </w:pPr>
      <w:r>
        <w:rPr>
          <w:rFonts w:hint="eastAsia" w:ascii="方正小标宋_GBK" w:hAnsi="微软雅黑" w:eastAsia="方正小标宋_GBK" w:cstheme="minorBidi"/>
          <w:color w:val="111F2C"/>
          <w:sz w:val="44"/>
          <w:szCs w:val="44"/>
          <w:shd w:val="clear" w:color="auto" w:fill="FFFFFF"/>
        </w:rPr>
        <w:t>乐清市乐成中心城区管委会</w:t>
      </w:r>
    </w:p>
    <w:p>
      <w:pPr>
        <w:widowControl/>
        <w:shd w:val="clear" w:color="auto" w:fill="FFFFFF"/>
        <w:spacing w:line="560" w:lineRule="exact"/>
        <w:jc w:val="center"/>
        <w:rPr>
          <w:rFonts w:eastAsia="方正小标宋简体"/>
          <w:color w:val="000000"/>
          <w:kern w:val="0"/>
          <w:sz w:val="44"/>
          <w:szCs w:val="44"/>
          <w:lang w:bidi="ar"/>
        </w:rPr>
      </w:pPr>
      <w:r>
        <w:rPr>
          <w:rFonts w:hint="eastAsia" w:ascii="方正小标宋_GBK" w:hAnsi="微软雅黑" w:eastAsia="方正小标宋_GBK" w:cstheme="minorBidi"/>
          <w:color w:val="111F2C"/>
          <w:sz w:val="44"/>
          <w:szCs w:val="44"/>
          <w:shd w:val="clear" w:color="auto" w:fill="FFFFFF"/>
        </w:rPr>
        <w:t>2021年政府信息公开工作年度报告</w:t>
      </w:r>
    </w:p>
    <w:p>
      <w:pPr>
        <w:shd w:val="clear" w:color="auto" w:fill="FFFFFF"/>
        <w:ind w:firstLine="640" w:firstLineChars="200"/>
        <w:rPr>
          <w:rFonts w:ascii="仿宋_GB2312"/>
          <w:szCs w:val="32"/>
        </w:rPr>
      </w:pPr>
      <w:r>
        <w:rPr>
          <w:rFonts w:hint="eastAsia" w:ascii="仿宋_GB2312"/>
          <w:szCs w:val="32"/>
        </w:rPr>
        <w:t>乐清乐成中心城区管委会2021年政府信息公开工作年度报告根据新修订《中华人民共和国政府信息公开条例》的要求，由</w:t>
      </w:r>
      <w:r>
        <w:rPr>
          <w:rFonts w:hint="eastAsia" w:ascii="仿宋_GB2312" w:hAnsi="微软雅黑"/>
          <w:color w:val="111F2C"/>
          <w:szCs w:val="32"/>
          <w:shd w:val="clear" w:color="auto" w:fill="FFFFFF"/>
        </w:rPr>
        <w:t>乐清乐成中心城区管委会</w:t>
      </w:r>
      <w:r>
        <w:rPr>
          <w:rFonts w:hint="eastAsia" w:ascii="仿宋_GB2312"/>
          <w:szCs w:val="32"/>
        </w:rPr>
        <w:t>编制而成。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2021年1月1日至2021年12月31日止。报告的电子版可在乐清市政府门户网站（http://www.yueqing.gov.cn/）上下载。如对报告内容有疑问，请与中心城区管委会办公室联系（电话：0577-61517015，电子邮件：</w:t>
      </w:r>
      <w:r>
        <w:fldChar w:fldCharType="begin"/>
      </w:r>
      <w:r>
        <w:instrText xml:space="preserve"> HYPERLINK "mailto:287173940@qq.com" </w:instrText>
      </w:r>
      <w:r>
        <w:fldChar w:fldCharType="separate"/>
      </w:r>
      <w:r>
        <w:rPr>
          <w:rStyle w:val="7"/>
          <w:rFonts w:hint="eastAsia" w:ascii="仿宋_GB2312"/>
          <w:szCs w:val="32"/>
        </w:rPr>
        <w:t>287173940@qq.com</w:t>
      </w:r>
      <w:r>
        <w:rPr>
          <w:rStyle w:val="7"/>
          <w:rFonts w:hint="eastAsia" w:ascii="仿宋_GB2312"/>
          <w:szCs w:val="32"/>
        </w:rPr>
        <w:fldChar w:fldCharType="end"/>
      </w:r>
      <w:r>
        <w:rPr>
          <w:rFonts w:hint="eastAsia" w:ascii="仿宋_GB2312"/>
          <w:szCs w:val="32"/>
        </w:rPr>
        <w:t>）</w:t>
      </w:r>
    </w:p>
    <w:p>
      <w:pPr>
        <w:shd w:val="clear" w:color="auto" w:fill="FFFFFF"/>
        <w:ind w:firstLine="643" w:firstLineChars="200"/>
        <w:rPr>
          <w:rFonts w:eastAsia="黑体"/>
          <w:color w:val="333333"/>
        </w:rPr>
      </w:pPr>
      <w:r>
        <w:rPr>
          <w:rFonts w:eastAsia="黑体"/>
          <w:b/>
          <w:bCs/>
          <w:color w:val="333333"/>
        </w:rPr>
        <w:t>一、总体情况</w:t>
      </w:r>
    </w:p>
    <w:p>
      <w:pPr>
        <w:shd w:val="clear" w:color="auto" w:fill="FFFFFF"/>
        <w:ind w:firstLine="800" w:firstLineChars="250"/>
        <w:rPr>
          <w:color w:val="333333"/>
        </w:rPr>
      </w:pPr>
      <w:r>
        <w:rPr>
          <w:rFonts w:hint="eastAsia"/>
          <w:color w:val="333333"/>
        </w:rPr>
        <w:t>2021年，我委政务公开工作认真贯彻《中华人民共和国政府</w:t>
      </w:r>
      <w:bookmarkStart w:id="0" w:name="_GoBack"/>
      <w:bookmarkEnd w:id="0"/>
      <w:r>
        <w:rPr>
          <w:rFonts w:hint="eastAsia"/>
          <w:color w:val="333333"/>
          <w:lang w:eastAsia="zh-CN"/>
        </w:rPr>
        <w:t>信息公开条例</w:t>
      </w:r>
      <w:r>
        <w:rPr>
          <w:rFonts w:hint="eastAsia"/>
          <w:color w:val="333333"/>
        </w:rPr>
        <w:t>》，按照有关要求，依法推进政府政务公开，着力打造服务型机关，较好地完成了政府政务公开各项工作，强化中心城区管委会政务管理与服务，做到计划缜密、制度规范、措施得力、落实到位，有效促进了中心城区管委会各项工作的顺利进行。</w:t>
      </w:r>
    </w:p>
    <w:p>
      <w:pPr>
        <w:widowControl/>
        <w:shd w:val="clear" w:color="auto" w:fill="FFFFFF"/>
        <w:ind w:firstLine="420"/>
        <w:rPr>
          <w:rFonts w:hint="eastAsia" w:ascii="宋体" w:hAnsi="宋体" w:eastAsia="宋体" w:cs="宋体"/>
          <w:color w:val="333333"/>
          <w:kern w:val="0"/>
          <w:sz w:val="24"/>
        </w:rPr>
      </w:pPr>
      <w:r>
        <w:rPr>
          <w:rFonts w:hint="eastAsia" w:ascii="宋体" w:hAnsi="宋体" w:eastAsia="宋体" w:cs="宋体"/>
          <w:b/>
          <w:bCs/>
          <w:color w:val="333333"/>
          <w:kern w:val="0"/>
          <w:sz w:val="24"/>
          <w:shd w:val="clear" w:color="auto" w:fill="FFFFFF"/>
        </w:rPr>
        <w:t>二、主动公开政府信息情况</w:t>
      </w:r>
    </w:p>
    <w:p>
      <w:pPr>
        <w:widowControl/>
        <w:shd w:val="clear" w:color="auto" w:fill="FFFFFF"/>
        <w:ind w:firstLine="420"/>
        <w:rPr>
          <w:rFonts w:hint="eastAsia" w:ascii="宋体" w:hAnsi="宋体" w:eastAsia="宋体" w:cs="宋体"/>
          <w:color w:val="333333"/>
          <w:kern w:val="0"/>
          <w:sz w:val="24"/>
        </w:rPr>
      </w:pPr>
    </w:p>
    <w:tbl>
      <w:tblPr>
        <w:tblStyle w:val="5"/>
        <w:tblW w:w="0" w:type="auto"/>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本年</w:t>
            </w:r>
            <w:r>
              <w:rPr>
                <w:rFonts w:hint="eastAsia" w:ascii="宋体" w:hAnsi="宋体" w:eastAsia="宋体" w:cs="宋体"/>
                <w:kern w:val="0"/>
                <w:sz w:val="20"/>
                <w:szCs w:val="20"/>
                <w:lang w:bidi="ar"/>
              </w:rPr>
              <w:t>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现行有效件</w:t>
            </w:r>
            <w:r>
              <w:rPr>
                <w:rFonts w:hint="eastAsia" w:ascii="宋体" w:hAnsi="宋体" w:eastAsia="宋体" w:cs="宋体"/>
                <w:kern w:val="0"/>
                <w:sz w:val="20"/>
                <w:szCs w:val="20"/>
                <w:lang w:bidi="ar"/>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ascii="Calibri" w:hAnsi="Calibri" w:eastAsia="宋体" w:cs="Calibri"/>
                <w:kern w:val="0"/>
                <w:sz w:val="21"/>
                <w:szCs w:val="21"/>
                <w:lang w:bidi="ar"/>
              </w:rPr>
              <w:t> </w:t>
            </w:r>
            <w:r>
              <w:rPr>
                <w:rFonts w:hint="eastAsia" w:ascii="Calibri" w:hAnsi="Calibri" w:eastAsia="宋体" w:cs="Calibri"/>
                <w:kern w:val="0"/>
                <w:sz w:val="21"/>
                <w:szCs w:val="21"/>
                <w:lang w:bidi="ar"/>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 　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ascii="Calibri" w:hAnsi="Calibri" w:eastAsia="宋体" w:cs="Calibri"/>
                <w:kern w:val="0"/>
                <w:sz w:val="21"/>
                <w:szCs w:val="21"/>
                <w:lang w:bidi="ar"/>
              </w:rPr>
              <w:t> </w:t>
            </w:r>
            <w:r>
              <w:rPr>
                <w:rFonts w:hint="eastAsia" w:ascii="Calibri" w:hAnsi="Calibri" w:eastAsia="宋体" w:cs="Calibri"/>
                <w:kern w:val="0"/>
                <w:sz w:val="21"/>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ascii="Calibri" w:hAnsi="Calibri" w:eastAsia="宋体" w:cs="Calibri"/>
                <w:kern w:val="0"/>
                <w:sz w:val="21"/>
                <w:szCs w:val="21"/>
                <w:lang w:bidi="ar"/>
              </w:rPr>
              <w:t> </w:t>
            </w:r>
            <w:r>
              <w:rPr>
                <w:rFonts w:hint="eastAsia" w:ascii="Calibri" w:hAnsi="Calibri" w:eastAsia="宋体" w:cs="Calibri"/>
                <w:kern w:val="0"/>
                <w:sz w:val="21"/>
                <w:szCs w:val="21"/>
                <w:lang w:bidi="ar"/>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　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　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hAnsi="Calibri" w:eastAsia="宋体"/>
                <w:sz w:val="24"/>
              </w:rPr>
            </w:pPr>
            <w:r>
              <w:rPr>
                <w:rFonts w:hint="eastAsia" w:ascii="宋体" w:hAnsi="Calibri" w:eastAsia="宋体"/>
                <w:sz w:val="24"/>
              </w:rPr>
              <w:t>0</w:t>
            </w:r>
          </w:p>
        </w:tc>
      </w:tr>
    </w:tbl>
    <w:p>
      <w:pPr>
        <w:widowControl/>
        <w:jc w:val="left"/>
        <w:rPr>
          <w:rFonts w:ascii="Calibri" w:hAnsi="Calibri" w:eastAsia="宋体"/>
          <w:sz w:val="21"/>
        </w:rPr>
      </w:pPr>
    </w:p>
    <w:p>
      <w:pPr>
        <w:widowControl/>
        <w:shd w:val="clear" w:color="auto" w:fill="FFFFFF"/>
        <w:ind w:firstLine="420"/>
        <w:rPr>
          <w:rFonts w:hint="eastAsia" w:ascii="宋体" w:hAnsi="宋体" w:eastAsia="宋体" w:cs="宋体"/>
          <w:color w:val="333333"/>
          <w:kern w:val="0"/>
          <w:sz w:val="24"/>
        </w:rPr>
      </w:pPr>
      <w:r>
        <w:rPr>
          <w:rFonts w:hint="eastAsia" w:ascii="宋体" w:hAnsi="宋体" w:eastAsia="宋体" w:cs="宋体"/>
          <w:b/>
          <w:bCs/>
          <w:color w:val="333333"/>
          <w:kern w:val="0"/>
          <w:sz w:val="24"/>
          <w:shd w:val="clear" w:color="auto" w:fill="FFFFFF"/>
        </w:rPr>
        <w:t>三、收到和处理政府信息公开申请情况</w:t>
      </w:r>
    </w:p>
    <w:p>
      <w:pPr>
        <w:widowControl/>
        <w:shd w:val="clear" w:color="auto" w:fill="FFFFFF"/>
        <w:ind w:firstLine="420"/>
        <w:rPr>
          <w:rFonts w:hint="eastAsia" w:ascii="宋体" w:hAnsi="宋体" w:eastAsia="宋体" w:cs="宋体"/>
          <w:color w:val="333333"/>
          <w:kern w:val="0"/>
          <w:sz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ascii="Calibri" w:hAnsi="Calibri" w:eastAsia="宋体"/>
                <w:sz w:val="21"/>
              </w:rPr>
            </w:pPr>
            <w:r>
              <w:rPr>
                <w:rFonts w:ascii="楷体" w:hAnsi="楷体" w:eastAsia="楷体" w:cs="楷体"/>
                <w:kern w:val="0"/>
                <w:sz w:val="20"/>
                <w:szCs w:val="20"/>
                <w:lang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hAnsi="Calibri" w:eastAsia="宋体"/>
                <w:sz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自然人</w:t>
            </w:r>
          </w:p>
        </w:tc>
        <w:tc>
          <w:tcPr>
            <w:tcW w:w="3440" w:type="dxa"/>
            <w:gridSpan w:val="5"/>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eastAsia" w:ascii="宋体" w:hAnsi="Calibri" w:eastAsia="宋体"/>
                <w:sz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商业</w:t>
            </w:r>
          </w:p>
          <w:p>
            <w:pPr>
              <w:widowControl/>
              <w:jc w:val="center"/>
              <w:rPr>
                <w:rFonts w:ascii="Calibri" w:hAnsi="Calibri" w:eastAsia="宋体"/>
                <w:sz w:val="21"/>
              </w:rPr>
            </w:pPr>
            <w:r>
              <w:rPr>
                <w:rFonts w:hint="eastAsia" w:ascii="宋体" w:hAnsi="宋体" w:eastAsia="宋体" w:cs="宋体"/>
                <w:kern w:val="0"/>
                <w:sz w:val="20"/>
                <w:szCs w:val="20"/>
                <w:lang w:bidi="ar"/>
              </w:rPr>
              <w:t>企业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科研</w:t>
            </w:r>
          </w:p>
          <w:p>
            <w:pPr>
              <w:widowControl/>
              <w:jc w:val="center"/>
              <w:rPr>
                <w:rFonts w:ascii="Calibri" w:hAnsi="Calibri" w:eastAsia="宋体"/>
                <w:sz w:val="21"/>
              </w:rPr>
            </w:pPr>
            <w:r>
              <w:rPr>
                <w:rFonts w:hint="eastAsia" w:ascii="宋体" w:hAnsi="宋体" w:eastAsia="宋体" w:cs="宋体"/>
                <w:kern w:val="0"/>
                <w:sz w:val="20"/>
                <w:szCs w:val="20"/>
                <w:lang w:bidi="ar"/>
              </w:rPr>
              <w:t>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社会公益组织</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法律服务机构</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三、本年度办理结果</w:t>
            </w: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（三）不予公开</w:t>
            </w: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1.属于国家秘密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3.危及“三安全一稳定”</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7.属于行政执法案卷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8.属于行政查询事项</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（四）无法提供</w:t>
            </w: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（五）不予处理</w:t>
            </w: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2.重复申请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tcPr>
          <w:p>
            <w:pPr>
              <w:widowControl/>
              <w:jc w:val="left"/>
              <w:rPr>
                <w:rFonts w:ascii="Calibri" w:hAnsi="Calibri" w:eastAsia="宋体"/>
                <w:sz w:val="21"/>
              </w:rPr>
            </w:pPr>
            <w:r>
              <w:rPr>
                <w:rFonts w:hint="eastAsia" w:ascii="宋体" w:hAnsi="宋体" w:eastAsia="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outset" w:color="auto" w:sz="8" w:space="0"/>
              <w:right w:val="single" w:color="auto" w:sz="8" w:space="0"/>
            </w:tcBorders>
            <w:tcMar>
              <w:left w:w="57" w:type="dxa"/>
              <w:right w:w="57" w:type="dxa"/>
            </w:tcMar>
            <w:vAlign w:val="center"/>
          </w:tcPr>
          <w:p>
            <w:pPr>
              <w:widowControl/>
              <w:rPr>
                <w:rFonts w:ascii="Calibri" w:hAnsi="Calibri" w:eastAsia="宋体"/>
                <w:sz w:val="21"/>
              </w:rPr>
            </w:pPr>
            <w:r>
              <w:rPr>
                <w:rFonts w:hint="eastAsia" w:ascii="宋体" w:hAnsi="宋体" w:eastAsia="宋体" w:cs="宋体"/>
                <w:kern w:val="0"/>
                <w:sz w:val="20"/>
                <w:szCs w:val="20"/>
                <w:lang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outset"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（六）其他处理</w:t>
            </w:r>
          </w:p>
        </w:tc>
        <w:tc>
          <w:tcPr>
            <w:tcW w:w="3220" w:type="dxa"/>
            <w:tcBorders>
              <w:top w:val="nil"/>
              <w:left w:val="nil"/>
              <w:bottom w:val="single" w:color="auto" w:sz="8" w:space="0"/>
              <w:right w:val="single" w:color="auto" w:sz="8" w:space="0"/>
            </w:tcBorders>
            <w:tcMar>
              <w:left w:w="57" w:type="dxa"/>
              <w:right w:w="57" w:type="dxa"/>
            </w:tcMar>
            <w:vAlign w:val="center"/>
          </w:tcPr>
          <w:p>
            <w:pPr>
              <w:widowControl/>
              <w:rPr>
                <w:rFonts w:ascii="Calibri" w:hAnsi="Calibri" w:eastAsia="宋体"/>
                <w:sz w:val="21"/>
              </w:rPr>
            </w:pPr>
            <w:r>
              <w:rPr>
                <w:rFonts w:hint="eastAsia" w:ascii="宋体" w:hAnsi="宋体" w:eastAsia="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vAlign w:val="center"/>
          </w:tcPr>
          <w:p>
            <w:pPr>
              <w:widowControl/>
              <w:rPr>
                <w:rFonts w:ascii="Calibri" w:hAnsi="Calibri" w:eastAsia="宋体"/>
                <w:sz w:val="21"/>
              </w:rPr>
            </w:pPr>
            <w:r>
              <w:rPr>
                <w:rFonts w:hint="eastAsia" w:ascii="宋体" w:hAnsi="宋体" w:eastAsia="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3220" w:type="dxa"/>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3.其他</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eastAsia" w:ascii="宋体" w:hAnsi="Calibri" w:eastAsia="宋体"/>
                <w:sz w:val="24"/>
              </w:rPr>
            </w:pPr>
          </w:p>
        </w:tc>
        <w:tc>
          <w:tcPr>
            <w:tcW w:w="4163"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（七）总计</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ascii="Calibri" w:hAnsi="Calibri" w:eastAsia="宋体"/>
                <w:sz w:val="21"/>
              </w:rPr>
            </w:pPr>
            <w:r>
              <w:rPr>
                <w:rFonts w:hint="eastAsia" w:ascii="宋体" w:hAnsi="宋体" w:eastAsia="宋体" w:cs="宋体"/>
                <w:kern w:val="0"/>
                <w:sz w:val="20"/>
                <w:szCs w:val="20"/>
                <w:lang w:bidi="ar"/>
              </w:rPr>
              <w:t>四、结转下年度继续办理</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c>
          <w:tcPr>
            <w:tcW w:w="688"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hint="eastAsia" w:ascii="Calibri" w:hAnsi="Calibri" w:eastAsia="宋体" w:cs="Calibri"/>
                <w:kern w:val="0"/>
                <w:sz w:val="20"/>
                <w:szCs w:val="20"/>
                <w:lang w:bidi="ar"/>
              </w:rPr>
              <w:t>0</w:t>
            </w:r>
            <w:r>
              <w:rPr>
                <w:rFonts w:ascii="Calibri" w:hAnsi="Calibri" w:eastAsia="宋体" w:cs="Calibri"/>
                <w:kern w:val="0"/>
                <w:sz w:val="20"/>
                <w:szCs w:val="20"/>
                <w:lang w:bidi="ar"/>
              </w:rPr>
              <w:t> </w:t>
            </w:r>
          </w:p>
        </w:tc>
        <w:tc>
          <w:tcPr>
            <w:tcW w:w="689" w:type="dxa"/>
            <w:tcBorders>
              <w:top w:val="nil"/>
              <w:left w:val="nil"/>
              <w:bottom w:val="single" w:color="auto" w:sz="8" w:space="0"/>
              <w:right w:val="single" w:color="auto" w:sz="8" w:space="0"/>
            </w:tcBorders>
            <w:tcMar>
              <w:left w:w="57" w:type="dxa"/>
              <w:right w:w="57" w:type="dxa"/>
            </w:tcMar>
          </w:tcPr>
          <w:p>
            <w:pPr>
              <w:widowControl/>
              <w:jc w:val="center"/>
              <w:rPr>
                <w:rFonts w:ascii="Calibri" w:hAnsi="Calibri" w:eastAsia="宋体"/>
                <w:sz w:val="21"/>
              </w:rPr>
            </w:pPr>
            <w:r>
              <w:rPr>
                <w:rFonts w:ascii="Calibri" w:hAnsi="Calibri" w:eastAsia="宋体" w:cs="Calibri"/>
                <w:kern w:val="0"/>
                <w:sz w:val="20"/>
                <w:szCs w:val="20"/>
                <w:lang w:bidi="ar"/>
              </w:rPr>
              <w:t> </w:t>
            </w:r>
            <w:r>
              <w:rPr>
                <w:rFonts w:hint="eastAsia" w:ascii="Calibri" w:hAnsi="Calibri" w:eastAsia="宋体" w:cs="Calibri"/>
                <w:kern w:val="0"/>
                <w:sz w:val="20"/>
                <w:szCs w:val="20"/>
                <w:lang w:bidi="ar"/>
              </w:rPr>
              <w:t>0</w:t>
            </w:r>
          </w:p>
        </w:tc>
      </w:tr>
    </w:tbl>
    <w:p>
      <w:pPr>
        <w:widowControl/>
        <w:shd w:val="clear" w:color="auto" w:fill="FFFFFF"/>
        <w:jc w:val="center"/>
        <w:rPr>
          <w:rFonts w:hint="eastAsia" w:ascii="宋体" w:hAnsi="宋体" w:eastAsia="宋体" w:cs="宋体"/>
          <w:color w:val="333333"/>
          <w:sz w:val="24"/>
        </w:rPr>
      </w:pPr>
    </w:p>
    <w:p>
      <w:pPr>
        <w:widowControl/>
        <w:shd w:val="clear" w:color="auto" w:fill="FFFFFF"/>
        <w:ind w:firstLine="420"/>
        <w:rPr>
          <w:rFonts w:hint="eastAsia" w:ascii="宋体" w:hAnsi="宋体" w:eastAsia="宋体" w:cs="宋体"/>
          <w:color w:val="333333"/>
          <w:kern w:val="0"/>
          <w:sz w:val="24"/>
        </w:rPr>
      </w:pPr>
      <w:r>
        <w:rPr>
          <w:rFonts w:hint="eastAsia" w:ascii="宋体" w:hAnsi="宋体" w:eastAsia="宋体" w:cs="宋体"/>
          <w:b/>
          <w:bCs/>
          <w:color w:val="333333"/>
          <w:kern w:val="0"/>
          <w:sz w:val="24"/>
          <w:shd w:val="clear" w:color="auto" w:fill="FFFFFF"/>
        </w:rPr>
        <w:t>四、政府信息公开行政复议、行政诉讼情况</w:t>
      </w:r>
    </w:p>
    <w:p>
      <w:pPr>
        <w:widowControl/>
        <w:shd w:val="clear" w:color="auto" w:fill="FFFFFF"/>
        <w:jc w:val="center"/>
        <w:rPr>
          <w:rFonts w:hint="eastAsia" w:ascii="宋体" w:hAnsi="宋体" w:eastAsia="宋体" w:cs="宋体"/>
          <w:color w:val="333333"/>
          <w:sz w:val="24"/>
        </w:rPr>
      </w:pPr>
    </w:p>
    <w:tbl>
      <w:tblPr>
        <w:tblStyle w:val="5"/>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Calibri" w:eastAsia="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hAnsi="Calibri" w:eastAsia="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hAnsi="Calibri" w:eastAsia="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hAnsi="Calibri" w:eastAsia="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hAnsi="Calibri" w:eastAsia="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其他</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结果</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其他</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kern w:val="0"/>
                <w:sz w:val="20"/>
                <w:szCs w:val="20"/>
                <w:lang w:bidi="ar"/>
              </w:rPr>
              <w:t>尚未</w:t>
            </w:r>
            <w:r>
              <w:rPr>
                <w:rFonts w:hint="eastAsia" w:ascii="宋体" w:hAnsi="宋体" w:eastAsia="宋体" w:cs="宋体"/>
                <w:kern w:val="0"/>
                <w:sz w:val="20"/>
                <w:szCs w:val="20"/>
                <w:lang w:bidi="ar"/>
              </w:rPr>
              <w:br w:type="textWrapping"/>
            </w:r>
            <w:r>
              <w:rPr>
                <w:rFonts w:hint="eastAsia" w:ascii="宋体" w:hAnsi="宋体" w:eastAsia="宋体" w:cs="宋体"/>
                <w:kern w:val="0"/>
                <w:sz w:val="20"/>
                <w:szCs w:val="20"/>
                <w:lang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ascii="Calibri" w:hAnsi="Calibri" w:eastAsia="宋体"/>
                <w:sz w:val="21"/>
              </w:rPr>
            </w:pPr>
            <w:r>
              <w:rPr>
                <w:rFonts w:hint="eastAsia" w:ascii="宋体" w:hAnsi="宋体" w:eastAsia="宋体" w:cs="宋体"/>
                <w:color w:val="000000"/>
                <w:kern w:val="0"/>
                <w:sz w:val="20"/>
                <w:szCs w:val="20"/>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hint="eastAsia" w:ascii="Calibri" w:hAnsi="Calibri" w:eastAsia="宋体"/>
                <w:sz w:val="24"/>
              </w:rPr>
              <w:t>0</w:t>
            </w:r>
            <w:r>
              <w:rPr>
                <w:rFonts w:ascii="Calibri" w:hAnsi="Calibri" w:eastAsia="宋体"/>
                <w:sz w:val="24"/>
              </w:rPr>
              <w:t> </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hint="eastAsia" w:ascii="Calibri" w:hAnsi="Calibri" w:eastAsia="宋体"/>
                <w:sz w:val="24"/>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jc w:val="center"/>
              <w:rPr>
                <w:rFonts w:ascii="Calibri" w:hAnsi="Calibri" w:eastAsia="宋体"/>
                <w:sz w:val="24"/>
              </w:rPr>
            </w:pPr>
            <w:r>
              <w:rPr>
                <w:rFonts w:ascii="Calibri" w:hAnsi="Calibri" w:eastAsia="宋体"/>
                <w:sz w:val="24"/>
              </w:rPr>
              <w:t> </w:t>
            </w:r>
            <w:r>
              <w:rPr>
                <w:rFonts w:hint="eastAsia" w:ascii="Calibri" w:hAnsi="Calibri" w:eastAsia="宋体"/>
                <w:sz w:val="24"/>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pacing w:before="31" w:beforeLines="10" w:after="31" w:afterLines="10" w:line="520" w:lineRule="exact"/>
              <w:rPr>
                <w:rFonts w:ascii="Calibri" w:hAnsi="Calibri" w:eastAsia="宋体"/>
                <w:sz w:val="24"/>
              </w:rPr>
            </w:pPr>
            <w:r>
              <w:rPr>
                <w:rFonts w:hint="eastAsia" w:ascii="Calibri" w:hAnsi="Calibri" w:eastAsia="宋体"/>
                <w:sz w:val="24"/>
              </w:rPr>
              <w:t>0</w:t>
            </w:r>
          </w:p>
        </w:tc>
      </w:tr>
    </w:tbl>
    <w:p>
      <w:pPr>
        <w:shd w:val="clear" w:color="auto" w:fill="FFFFFF"/>
        <w:ind w:firstLine="800" w:firstLineChars="250"/>
        <w:rPr>
          <w:color w:val="333333"/>
        </w:rPr>
      </w:pPr>
    </w:p>
    <w:p>
      <w:pPr>
        <w:shd w:val="clear" w:color="auto" w:fill="FFFFFF"/>
        <w:ind w:firstLine="800" w:firstLineChars="250"/>
        <w:rPr>
          <w:color w:val="333333"/>
        </w:rPr>
      </w:pPr>
    </w:p>
    <w:p/>
    <w:p>
      <w:pPr>
        <w:shd w:val="clear" w:color="auto" w:fill="FFFFFF"/>
        <w:ind w:firstLine="480"/>
        <w:rPr>
          <w:rFonts w:eastAsia="黑体"/>
          <w:b/>
          <w:bCs/>
          <w:color w:val="333333"/>
        </w:rPr>
      </w:pPr>
      <w:r>
        <w:rPr>
          <w:rFonts w:eastAsia="黑体"/>
          <w:b/>
          <w:bCs/>
          <w:color w:val="333333"/>
        </w:rPr>
        <w:t>五、存在的主要问题及改进情况</w:t>
      </w:r>
    </w:p>
    <w:p>
      <w:pPr>
        <w:shd w:val="clear" w:color="auto" w:fill="FFFFFF"/>
        <w:ind w:firstLine="480"/>
        <w:rPr>
          <w:color w:val="333333"/>
        </w:rPr>
      </w:pPr>
      <w:r>
        <w:rPr>
          <w:rFonts w:hint="eastAsia"/>
          <w:color w:val="333333"/>
        </w:rPr>
        <w:t>2021年，我委政府信息公开工作在市府办政务公开科的关心和指导下，工作有序推进，进步明显，但仍存在一些问题：一是公开内容质量有待提高；二是信息公开人员未能及时掌握文书的发文情况。三是各科室配合工作仍需加强。</w:t>
      </w:r>
    </w:p>
    <w:p>
      <w:pPr>
        <w:widowControl/>
        <w:shd w:val="clear" w:color="auto" w:fill="FFFFFF"/>
        <w:spacing w:line="560" w:lineRule="exact"/>
        <w:ind w:firstLine="640" w:firstLineChars="200"/>
        <w:rPr>
          <w:rFonts w:ascii="仿宋_GB2312" w:hAnsi="宋体" w:cs="宋体"/>
          <w:color w:val="333333"/>
          <w:kern w:val="0"/>
          <w:szCs w:val="32"/>
        </w:rPr>
      </w:pPr>
      <w:r>
        <w:rPr>
          <w:rFonts w:hint="eastAsia" w:ascii="仿宋_GB2312" w:hAnsi="仿宋" w:cstheme="minorBidi"/>
          <w:szCs w:val="32"/>
        </w:rPr>
        <w:t>2022年，我委将继续要求相关人员认真学习《中华人民共和国政府信息公开条例》，加强信息公开业务人员的培训，提升公开意识，提高业务水平，真正做到以制度规范行为并及时准确的公开政府信息有关内容。</w:t>
      </w:r>
      <w:r>
        <w:rPr>
          <w:rFonts w:hint="eastAsia" w:ascii="仿宋_GB2312" w:hAnsi="方正仿宋_GBK" w:cs="方正仿宋_GBK"/>
          <w:color w:val="000000"/>
          <w:kern w:val="0"/>
          <w:szCs w:val="32"/>
          <w:lang w:bidi="ar"/>
        </w:rPr>
        <w:t>切实增强处理依申请公开的能力和水平，做好相关配套制度的修订完善，确保答复申请依</w:t>
      </w:r>
      <w:r>
        <w:rPr>
          <w:rFonts w:hint="eastAsia" w:ascii="仿宋_GB2312" w:hAnsiTheme="minorHAnsi" w:cstheme="minorBidi"/>
          <w:szCs w:val="32"/>
        </w:rPr>
        <w:t>法有据、严谨规范</w:t>
      </w:r>
      <w:r>
        <w:rPr>
          <w:rFonts w:hint="eastAsia" w:ascii="仿宋_GB2312" w:hAnsi="仿宋" w:cstheme="minorBidi"/>
          <w:szCs w:val="32"/>
        </w:rPr>
        <w:t>。</w:t>
      </w:r>
    </w:p>
    <w:p>
      <w:pPr>
        <w:widowControl/>
        <w:shd w:val="clear" w:color="auto" w:fill="FFFFFF"/>
        <w:spacing w:line="560" w:lineRule="exact"/>
        <w:ind w:firstLine="640" w:firstLineChars="200"/>
        <w:rPr>
          <w:rFonts w:ascii="黑体" w:hAnsi="黑体" w:eastAsia="黑体" w:cs="宋体"/>
          <w:bCs/>
          <w:color w:val="333333"/>
          <w:kern w:val="0"/>
          <w:szCs w:val="32"/>
        </w:rPr>
      </w:pPr>
      <w:r>
        <w:rPr>
          <w:rFonts w:hint="eastAsia" w:ascii="黑体" w:hAnsi="黑体" w:eastAsia="黑体" w:cs="宋体"/>
          <w:bCs/>
          <w:color w:val="333333"/>
          <w:kern w:val="0"/>
          <w:szCs w:val="32"/>
        </w:rPr>
        <w:t>六、其他需要报告的事项</w:t>
      </w:r>
    </w:p>
    <w:p>
      <w:pPr>
        <w:spacing w:line="560" w:lineRule="exact"/>
        <w:ind w:firstLine="640" w:firstLineChars="200"/>
        <w:rPr>
          <w:rFonts w:ascii="仿宋_GB2312" w:hAnsi="方正仿宋_GBK" w:cs="方正仿宋_GBK"/>
          <w:color w:val="000000"/>
          <w:kern w:val="0"/>
          <w:szCs w:val="32"/>
          <w:lang w:bidi="ar"/>
        </w:rPr>
      </w:pPr>
      <w:r>
        <w:rPr>
          <w:rFonts w:hint="eastAsia" w:ascii="仿宋_GB2312" w:hAnsi="方正仿宋_GBK" w:cs="方正仿宋_GBK"/>
          <w:color w:val="000000"/>
          <w:kern w:val="0"/>
          <w:szCs w:val="32"/>
          <w:lang w:bidi="ar"/>
        </w:rPr>
        <w:t>本单位无其他需要报告的事项，无收取信息处理费情况。</w:t>
      </w:r>
    </w:p>
    <w:p>
      <w:pPr>
        <w:spacing w:line="560" w:lineRule="exact"/>
        <w:ind w:firstLine="640" w:firstLineChars="200"/>
        <w:rPr>
          <w:rFonts w:ascii="仿宋_GB2312" w:hAnsiTheme="minorHAnsi" w:cstheme="minorBidi"/>
          <w:szCs w:val="32"/>
        </w:rPr>
      </w:pPr>
    </w:p>
    <w:p>
      <w:pPr>
        <w:spacing w:line="560" w:lineRule="exact"/>
        <w:jc w:val="right"/>
        <w:rPr>
          <w:rFonts w:ascii="仿宋_GB2312" w:hAnsiTheme="minorHAnsi" w:cstheme="minorBidi"/>
          <w:szCs w:val="32"/>
        </w:rPr>
      </w:pPr>
      <w:r>
        <w:rPr>
          <w:rFonts w:hint="eastAsia" w:ascii="仿宋_GB2312" w:hAnsiTheme="minorHAnsi" w:cstheme="minorBidi"/>
          <w:szCs w:val="32"/>
        </w:rPr>
        <w:t>乐清乐成中心城区开发建设管理委员会</w:t>
      </w:r>
    </w:p>
    <w:p>
      <w:pPr>
        <w:shd w:val="clear" w:color="auto" w:fill="FFFFFF"/>
        <w:ind w:firstLine="480"/>
        <w:jc w:val="right"/>
        <w:rPr>
          <w:color w:val="333333"/>
        </w:rPr>
      </w:pPr>
      <w:r>
        <w:rPr>
          <w:rFonts w:hint="eastAsia" w:ascii="仿宋_GB2312" w:hAnsiTheme="minorHAnsi" w:cstheme="minorBidi"/>
          <w:szCs w:val="32"/>
        </w:rPr>
        <w:t>2021年1月6日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2ZWYzMGI0ZWQ1M2U2NTNhMmU0MzEwY2EzNWQyODUifQ=="/>
  </w:docVars>
  <w:rsids>
    <w:rsidRoot w:val="00F71E71"/>
    <w:rsid w:val="000E7432"/>
    <w:rsid w:val="00190F34"/>
    <w:rsid w:val="00294C75"/>
    <w:rsid w:val="00861175"/>
    <w:rsid w:val="00BE1968"/>
    <w:rsid w:val="00C7405E"/>
    <w:rsid w:val="00CE2FCE"/>
    <w:rsid w:val="00D9078A"/>
    <w:rsid w:val="00DC75D8"/>
    <w:rsid w:val="00E152B8"/>
    <w:rsid w:val="00E95C7C"/>
    <w:rsid w:val="00F71E71"/>
    <w:rsid w:val="72BC6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Pages>
  <Words>1625</Words>
  <Characters>1722</Characters>
  <Lines>16</Lines>
  <Paragraphs>4</Paragraphs>
  <TotalTime>246</TotalTime>
  <ScaleCrop>false</ScaleCrop>
  <LinksUpToDate>false</LinksUpToDate>
  <CharactersWithSpaces>1923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2022-01-06T02:36:00Z</dcterms:created>
  <dc:creator>Administrator</dc:creator>
  <cp:lastModifiedBy>Administrator</cp:lastModifiedBy>
  <cp:lastPrinted>2022-01-06T03:19:00Z</cp:lastPrinted>
  <dcterms:modified xsi:type="dcterms:W3CDTF">2022-10-10T06:48:45Z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751FACA674C64DADA322D62BB05A44C1</vt:lpwstr>
  </property>
</Properties>
</file>