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12" w:lineRule="auto"/>
        <w:jc w:val="center"/>
        <w:rPr>
          <w:rFonts w:hint="eastAsia"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关于《</w:t>
      </w:r>
      <w:r>
        <w:rPr>
          <w:rFonts w:hint="eastAsia" w:ascii="方正大标宋简体" w:eastAsia="方正大标宋简体"/>
          <w:sz w:val="44"/>
          <w:szCs w:val="44"/>
          <w:lang w:eastAsia="zh-CN"/>
        </w:rPr>
        <w:t>乐清市临时救助实施细则</w:t>
      </w:r>
      <w:r>
        <w:rPr>
          <w:rFonts w:hint="eastAsia" w:ascii="方正大标宋简体" w:eastAsia="方正大标宋简体"/>
          <w:sz w:val="44"/>
          <w:szCs w:val="44"/>
        </w:rPr>
        <w:t>》的</w:t>
      </w:r>
    </w:p>
    <w:p>
      <w:pPr>
        <w:snapToGrid w:val="0"/>
        <w:spacing w:line="312" w:lineRule="auto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  <w:lang w:val="en-US" w:eastAsia="zh-CN"/>
        </w:rPr>
        <w:t>起草</w:t>
      </w:r>
      <w:r>
        <w:rPr>
          <w:rFonts w:hint="eastAsia" w:ascii="方正大标宋简体" w:eastAsia="方正大标宋简体"/>
          <w:sz w:val="44"/>
          <w:szCs w:val="44"/>
        </w:rPr>
        <w:t>说明</w:t>
      </w:r>
    </w:p>
    <w:p>
      <w:pPr>
        <w:snapToGrid w:val="0"/>
        <w:spacing w:line="312" w:lineRule="auto"/>
        <w:rPr>
          <w:rFonts w:ascii="FZFS" w:eastAsia="FZFS"/>
          <w:sz w:val="30"/>
          <w:szCs w:val="30"/>
        </w:rPr>
      </w:pPr>
    </w:p>
    <w:p>
      <w:pPr>
        <w:snapToGrid w:val="0"/>
        <w:spacing w:line="312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现就《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乐清市临时救助实施细则</w:t>
      </w:r>
      <w:r>
        <w:rPr>
          <w:rFonts w:hint="eastAsia" w:ascii="仿宋" w:hAnsi="仿宋" w:eastAsia="仿宋" w:cs="仿宋"/>
          <w:sz w:val="32"/>
          <w:szCs w:val="32"/>
        </w:rPr>
        <w:t>》有关情况说明如下：</w:t>
      </w:r>
    </w:p>
    <w:p>
      <w:pPr>
        <w:snapToGrid w:val="0"/>
        <w:spacing w:line="312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一、文件涉法内容说明</w:t>
      </w:r>
    </w:p>
    <w:p>
      <w:pPr>
        <w:snapToGrid w:val="0"/>
        <w:spacing w:line="312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该文件依据《社会救助暂行办法》、《浙江省社会救助条例》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、《乐清市临时救助办法》</w:t>
      </w:r>
      <w:r>
        <w:rPr>
          <w:rFonts w:hint="eastAsia" w:ascii="仿宋" w:hAnsi="仿宋" w:eastAsia="仿宋" w:cs="仿宋"/>
          <w:sz w:val="32"/>
          <w:szCs w:val="32"/>
        </w:rPr>
        <w:t>制定。</w:t>
      </w:r>
    </w:p>
    <w:p>
      <w:pPr>
        <w:snapToGrid w:val="0"/>
        <w:spacing w:line="312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二、文件制定程序说明</w:t>
      </w:r>
    </w:p>
    <w:p>
      <w:pPr>
        <w:snapToGrid w:val="0"/>
        <w:spacing w:line="312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该文件由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社会救助和福利科</w:t>
      </w:r>
      <w:r>
        <w:rPr>
          <w:rFonts w:hint="eastAsia" w:ascii="仿宋" w:hAnsi="仿宋" w:eastAsia="仿宋" w:cs="仿宋"/>
          <w:sz w:val="32"/>
          <w:szCs w:val="32"/>
        </w:rPr>
        <w:t>进行必要性、可行性等内容的调研论证。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为了解决《乐清市临时救助实施细则（试行）》执行过程中的难点问题，进一步科学设定救助事项，精准测算救助标准，并与财政局协商沟通，最后经乐清市大救助联席会议讨论通过修改事项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napToGrid w:val="0"/>
        <w:spacing w:line="312" w:lineRule="auto"/>
        <w:ind w:firstLine="640" w:firstLineChars="200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日，由局法制机构合法性审核，未提出合法性意见。未提出其他意见。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F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471BF"/>
    <w:rsid w:val="14B30782"/>
    <w:rsid w:val="15F248BA"/>
    <w:rsid w:val="20355F3B"/>
    <w:rsid w:val="44C16FB2"/>
    <w:rsid w:val="5B20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2020-06-04T06:51:00Z</dcterms:created>
  <dc:creator>EK</dc:creator>
  <cp:lastModifiedBy>安静下的猫</cp:lastModifiedBy>
  <dcterms:modified xsi:type="dcterms:W3CDTF">2022-01-20T02:31:53Z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139C9350E86A45E49C39849AD54D5FC5</vt:lpwstr>
  </property>
</Properties>
</file>