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eastAsia="方正小标宋简体"/>
          <w:color w:val="000000"/>
          <w:kern w:val="0"/>
          <w:sz w:val="44"/>
          <w:szCs w:val="44"/>
          <w:lang w:eastAsia="zh-CN" w:bidi="ar"/>
        </w:rPr>
      </w:pPr>
      <w:r>
        <w:rPr>
          <w:rFonts w:hint="eastAsia" w:eastAsia="方正小标宋简体"/>
          <w:color w:val="000000"/>
          <w:kern w:val="0"/>
          <w:sz w:val="44"/>
          <w:szCs w:val="44"/>
          <w:lang w:eastAsia="zh-CN" w:bidi="ar"/>
        </w:rPr>
        <w:t>乐清市文化和广电旅游体育局</w:t>
      </w:r>
    </w:p>
    <w:p>
      <w:pPr>
        <w:widowControl/>
        <w:shd w:val="clear" w:color="auto" w:fill="FFFFFF"/>
        <w:spacing w:line="560" w:lineRule="exact"/>
        <w:jc w:val="center"/>
        <w:rPr>
          <w:rFonts w:eastAsia="方正小标宋简体"/>
          <w:color w:val="000000"/>
          <w:kern w:val="0"/>
          <w:sz w:val="44"/>
          <w:szCs w:val="44"/>
          <w:lang w:bidi="ar"/>
        </w:rPr>
      </w:pPr>
      <w:r>
        <w:rPr>
          <w:rFonts w:hint="eastAsia" w:eastAsia="方正小标宋简体"/>
          <w:color w:val="000000"/>
          <w:kern w:val="0"/>
          <w:sz w:val="44"/>
          <w:szCs w:val="44"/>
          <w:lang w:val="en-US" w:eastAsia="zh-CN" w:bidi="ar"/>
        </w:rPr>
        <w:t>2021年度</w:t>
      </w:r>
      <w:r>
        <w:rPr>
          <w:rFonts w:eastAsia="方正小标宋简体"/>
          <w:color w:val="000000"/>
          <w:kern w:val="0"/>
          <w:sz w:val="44"/>
          <w:szCs w:val="44"/>
          <w:lang w:bidi="ar"/>
        </w:rPr>
        <w:t>政府信息公开工作年度报告</w:t>
      </w:r>
    </w:p>
    <w:p>
      <w:pPr>
        <w:shd w:val="clear" w:color="auto" w:fill="FFFFFF"/>
        <w:ind w:firstLine="480"/>
        <w:rPr>
          <w:rFonts w:eastAsia="黑体"/>
          <w:b/>
          <w:bCs/>
          <w:color w:val="333333"/>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2021年度报告根据新修订《中华人民共和国政府信息公开条例》（以下简称</w:t>
      </w:r>
      <w:bookmarkStart w:id="0" w:name="_GoBack"/>
      <w:r>
        <w:rPr>
          <w:rFonts w:hint="eastAsia" w:ascii="仿宋_GB2312" w:hAnsi="仿宋_GB2312" w:eastAsia="仿宋_GB2312" w:cs="仿宋_GB2312"/>
          <w:sz w:val="32"/>
          <w:szCs w:val="32"/>
        </w:rPr>
        <w:t>《条例</w:t>
      </w:r>
      <w:bookmarkEnd w:id="0"/>
      <w:r>
        <w:rPr>
          <w:rFonts w:hint="eastAsia" w:ascii="仿宋_GB2312" w:hAnsi="仿宋_GB2312" w:eastAsia="仿宋_GB2312" w:cs="仿宋_GB2312"/>
          <w:sz w:val="32"/>
          <w:szCs w:val="32"/>
        </w:rPr>
        <w:t>》）的要求，由乐清市</w:t>
      </w:r>
      <w:r>
        <w:rPr>
          <w:rFonts w:hint="eastAsia" w:ascii="仿宋_GB2312" w:hAnsi="仿宋_GB2312" w:cs="仿宋_GB2312"/>
          <w:sz w:val="32"/>
          <w:szCs w:val="32"/>
          <w:lang w:eastAsia="zh-CN"/>
        </w:rPr>
        <w:t>文化和广电旅游体育局</w:t>
      </w:r>
      <w:r>
        <w:rPr>
          <w:rFonts w:hint="eastAsia" w:ascii="仿宋_GB2312" w:hAnsi="仿宋_GB2312" w:eastAsia="仿宋_GB2312" w:cs="仿宋_GB2312"/>
          <w:sz w:val="32"/>
          <w:szCs w:val="32"/>
        </w:rPr>
        <w:t>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2021年1月1日至2021年12月31日止。报告的电子版可在乐清市政府门户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"http://www.yueqing.gov.cn/"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http://www.yueqing.gov.cn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/）上下载。如对报告内容有疑问，请与乐清市</w:t>
      </w:r>
      <w:r>
        <w:rPr>
          <w:rFonts w:hint="eastAsia" w:ascii="仿宋_GB2312" w:hAnsi="仿宋_GB2312" w:cs="仿宋_GB2312"/>
          <w:sz w:val="32"/>
          <w:szCs w:val="32"/>
          <w:lang w:eastAsia="zh-CN"/>
        </w:rPr>
        <w:t>文化和广电旅游体育局办公室</w:t>
      </w:r>
      <w:r>
        <w:rPr>
          <w:rFonts w:hint="eastAsia" w:ascii="仿宋_GB2312" w:hAnsi="仿宋_GB2312" w:eastAsia="仿宋_GB2312" w:cs="仿宋_GB2312"/>
          <w:sz w:val="32"/>
          <w:szCs w:val="32"/>
        </w:rPr>
        <w:t>联系（电话：0577-6188</w:t>
      </w:r>
      <w:r>
        <w:rPr>
          <w:rFonts w:hint="eastAsia" w:ascii="仿宋_GB2312" w:hAnsi="仿宋_GB2312" w:cs="仿宋_GB2312"/>
          <w:sz w:val="32"/>
          <w:szCs w:val="32"/>
          <w:lang w:val="en-US" w:eastAsia="zh-CN"/>
        </w:rPr>
        <w:t>0359</w:t>
      </w:r>
      <w:r>
        <w:rPr>
          <w:rFonts w:hint="eastAsia" w:ascii="仿宋_GB2312" w:hAnsi="仿宋_GB2312" w:eastAsia="仿宋_GB2312" w:cs="仿宋_GB2312"/>
          <w:sz w:val="32"/>
          <w:szCs w:val="32"/>
        </w:rPr>
        <w:t>，电子邮件</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yqswgltj</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"http://163.com/"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26</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textAlignment w:val="auto"/>
        <w:rPr>
          <w:rFonts w:eastAsia="黑体"/>
          <w:color w:val="333333"/>
        </w:rPr>
      </w:pPr>
      <w:r>
        <w:rPr>
          <w:rFonts w:eastAsia="黑体"/>
          <w:b/>
          <w:bCs/>
          <w:color w:val="333333"/>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文广旅体局</w:t>
      </w:r>
      <w:r>
        <w:rPr>
          <w:rFonts w:hint="eastAsia" w:ascii="仿宋_GB2312" w:hAnsi="仿宋_GB2312" w:eastAsia="仿宋_GB2312" w:cs="仿宋_GB2312"/>
          <w:sz w:val="32"/>
          <w:szCs w:val="32"/>
        </w:rPr>
        <w:t>深入贯彻落实《中华人民共和国政府信息公开条例》和省、市政府有关信息公开工作的要求，加强领导，统一部署，信息公开工作得到了深入开展，公开内容进一步拓展，公开形式不断规范，公开制度得到较好执行，政府信息公开工作取得</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明显成果。现将今年信息公开工作情况总结如下：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（一）政务公开总体情况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hAnsi="仿宋_GB2312" w:eastAsia="仿宋_GB2312" w:cs="仿宋_GB2312"/>
          <w:sz w:val="32"/>
          <w:szCs w:val="32"/>
        </w:rPr>
        <w:t>我局政务信息主动公开信息</w:t>
      </w:r>
      <w:r>
        <w:rPr>
          <w:rFonts w:hint="eastAsia" w:ascii="仿宋_GB2312" w:hAnsi="仿宋_GB2312" w:eastAsia="仿宋_GB2312" w:cs="仿宋_GB2312"/>
          <w:sz w:val="32"/>
          <w:szCs w:val="32"/>
          <w:lang w:val="en-US" w:eastAsia="zh-CN"/>
        </w:rPr>
        <w:t>539</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全年制发公文</w:t>
      </w:r>
      <w:r>
        <w:rPr>
          <w:rFonts w:hint="eastAsia" w:ascii="仿宋_GB2312" w:hAnsi="仿宋_GB2312" w:eastAsia="仿宋_GB2312" w:cs="仿宋_GB2312"/>
          <w:sz w:val="32"/>
          <w:szCs w:val="32"/>
          <w:lang w:val="en-US" w:eastAsia="zh-CN"/>
        </w:rPr>
        <w:t>80件，其中公开文件34件，占比42.5%，全文电子化率达到100%，全年制发行政规范性文件1件。全年</w:t>
      </w:r>
      <w:r>
        <w:rPr>
          <w:rFonts w:hint="eastAsia" w:ascii="仿宋_GB2312" w:eastAsia="仿宋_GB2312" w:cs="仿宋_GB2312"/>
          <w:color w:val="auto"/>
          <w:sz w:val="32"/>
          <w:szCs w:val="32"/>
        </w:rPr>
        <w:t>行政许可</w:t>
      </w:r>
      <w:r>
        <w:rPr>
          <w:rFonts w:hint="eastAsia" w:ascii="仿宋_GB2312" w:eastAsia="仿宋_GB2312" w:cs="仿宋_GB2312"/>
          <w:color w:val="auto"/>
          <w:sz w:val="32"/>
          <w:szCs w:val="32"/>
          <w:u w:val="none"/>
        </w:rPr>
        <w:t>处理决定</w:t>
      </w:r>
      <w:r>
        <w:rPr>
          <w:rFonts w:hint="eastAsia" w:ascii="仿宋_GB2312" w:eastAsia="仿宋_GB2312" w:cs="仿宋_GB2312"/>
          <w:color w:val="auto"/>
          <w:sz w:val="32"/>
          <w:szCs w:val="32"/>
          <w:u w:val="none"/>
          <w:lang w:val="en-US" w:eastAsia="zh-CN"/>
        </w:rPr>
        <w:t>53</w:t>
      </w:r>
      <w:r>
        <w:rPr>
          <w:rFonts w:hint="eastAsia" w:ascii="仿宋_GB2312" w:eastAsia="仿宋_GB2312" w:cs="仿宋_GB2312"/>
          <w:color w:val="auto"/>
          <w:sz w:val="32"/>
          <w:szCs w:val="32"/>
          <w:u w:val="none"/>
          <w:lang w:eastAsia="zh-CN"/>
        </w:rPr>
        <w:t>件，</w:t>
      </w:r>
      <w:r>
        <w:rPr>
          <w:rFonts w:hint="eastAsia" w:ascii="仿宋_GB2312" w:eastAsia="仿宋_GB2312" w:cs="仿宋_GB2312"/>
          <w:color w:val="auto"/>
          <w:sz w:val="32"/>
          <w:szCs w:val="32"/>
          <w:u w:val="none"/>
        </w:rPr>
        <w:t>行政处罚处理决定</w:t>
      </w:r>
      <w:r>
        <w:rPr>
          <w:rFonts w:hint="eastAsia" w:ascii="仿宋_GB2312" w:eastAsia="仿宋_GB2312" w:cs="仿宋_GB2312"/>
          <w:color w:val="auto"/>
          <w:sz w:val="32"/>
          <w:szCs w:val="32"/>
          <w:u w:val="none"/>
          <w:lang w:val="en-US" w:eastAsia="zh-CN"/>
        </w:rPr>
        <w:t>80</w:t>
      </w:r>
      <w:r>
        <w:rPr>
          <w:rFonts w:hint="eastAsia" w:ascii="仿宋_GB2312" w:eastAsia="仿宋_GB2312" w:cs="仿宋_GB2312"/>
          <w:color w:val="auto"/>
          <w:sz w:val="32"/>
          <w:szCs w:val="32"/>
          <w:u w:val="none"/>
        </w:rPr>
        <w:t>个</w:t>
      </w:r>
      <w:r>
        <w:rPr>
          <w:rFonts w:hint="eastAsia" w:ascii="仿宋_GB2312" w:eastAsia="仿宋_GB2312" w:cs="仿宋_GB2312"/>
          <w:color w:val="auto"/>
          <w:sz w:val="32"/>
          <w:szCs w:val="32"/>
          <w:u w:val="none"/>
          <w:lang w:eastAsia="zh-CN"/>
        </w:rPr>
        <w:t>，</w:t>
      </w:r>
      <w:r>
        <w:rPr>
          <w:rFonts w:hint="eastAsia" w:ascii="仿宋_GB2312" w:eastAsia="仿宋_GB2312" w:cs="仿宋_GB2312"/>
          <w:color w:val="auto"/>
          <w:sz w:val="32"/>
          <w:szCs w:val="32"/>
          <w:u w:val="none"/>
        </w:rPr>
        <w:t>行政强制处理决定</w:t>
      </w:r>
      <w:r>
        <w:rPr>
          <w:rFonts w:hint="eastAsia" w:ascii="仿宋_GB2312" w:eastAsia="仿宋_GB2312" w:cs="仿宋_GB2312"/>
          <w:color w:val="auto"/>
          <w:sz w:val="32"/>
          <w:szCs w:val="32"/>
          <w:u w:val="none"/>
          <w:lang w:val="en-US" w:eastAsia="zh-CN"/>
        </w:rPr>
        <w:t>0</w:t>
      </w:r>
      <w:r>
        <w:rPr>
          <w:rFonts w:hint="eastAsia" w:ascii="仿宋_GB2312" w:eastAsia="仿宋_GB2312" w:cs="仿宋_GB2312"/>
          <w:color w:val="auto"/>
          <w:sz w:val="32"/>
          <w:szCs w:val="32"/>
          <w:u w:val="none"/>
          <w:lang w:eastAsia="zh-CN"/>
        </w:rPr>
        <w:t>件。</w:t>
      </w:r>
      <w:r>
        <w:rPr>
          <w:rFonts w:hint="eastAsia" w:ascii="仿宋_GB2312" w:eastAsia="仿宋_GB2312" w:cs="仿宋_GB2312"/>
          <w:color w:val="auto"/>
          <w:sz w:val="32"/>
          <w:szCs w:val="32"/>
        </w:rPr>
        <w:t>通知公告、政务动态、机构设置等其他属于主动公开</w:t>
      </w:r>
      <w:r>
        <w:rPr>
          <w:rFonts w:hint="eastAsia" w:ascii="仿宋_GB2312" w:eastAsia="仿宋_GB2312" w:cs="仿宋_GB2312"/>
          <w:color w:val="auto"/>
          <w:sz w:val="32"/>
          <w:szCs w:val="32"/>
          <w:lang w:eastAsia="zh-CN"/>
        </w:rPr>
        <w:t>的共</w:t>
      </w:r>
      <w:r>
        <w:rPr>
          <w:rFonts w:hint="eastAsia" w:ascii="仿宋_GB2312" w:eastAsia="仿宋_GB2312" w:cs="仿宋_GB2312"/>
          <w:color w:val="auto"/>
          <w:sz w:val="32"/>
          <w:szCs w:val="32"/>
          <w:lang w:val="en-US" w:eastAsia="zh-CN"/>
        </w:rPr>
        <w:t>56条。微信公众号“乐清市文旅体资讯”全年公开信息数316条，内容包含全市各类文旅体活动资讯，极大地促进了我市文旅体事业发展。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仿宋_GB2312" w:cs="仿宋_GB2312"/>
          <w:color w:val="auto"/>
          <w:sz w:val="32"/>
          <w:szCs w:val="32"/>
          <w:lang w:val="en-US" w:eastAsia="zh-CN"/>
        </w:rPr>
        <w:t>（二）</w:t>
      </w:r>
      <w:r>
        <w:rPr>
          <w:rFonts w:hint="eastAsia" w:ascii="黑体" w:hAnsi="黑体" w:eastAsia="黑体" w:cs="黑体"/>
          <w:sz w:val="32"/>
          <w:szCs w:val="32"/>
          <w:lang w:eastAsia="zh-CN"/>
        </w:rPr>
        <w:t>统筹做好信息公开工作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一是提高思想认识。多次召开专题会议对我局信息公开工作进行部署，要求各科室提高对政府信息公开的必要性和重要性的认识，认真学习</w:t>
      </w:r>
      <w:r>
        <w:rPr>
          <w:rFonts w:hint="eastAsia" w:ascii="仿宋_GB2312" w:hAnsi="仿宋_GB2312" w:cs="仿宋_GB2312"/>
          <w:sz w:val="32"/>
          <w:szCs w:val="32"/>
          <w:lang w:eastAsia="zh-CN"/>
        </w:rPr>
        <w:t>《条例</w:t>
      </w:r>
      <w:r>
        <w:rPr>
          <w:rFonts w:hint="eastAsia" w:ascii="仿宋_GB2312" w:hAnsi="仿宋_GB2312" w:eastAsia="仿宋_GB2312" w:cs="仿宋_GB2312"/>
          <w:sz w:val="32"/>
          <w:szCs w:val="32"/>
          <w:lang w:eastAsia="zh-CN"/>
        </w:rPr>
        <w:t>，严格按规定向社会公开政府信息。二是加强组织领导，研究部署政务公开工作的落实情况。制定全年政务公开工作方案，确保信息公开工作的高质量开展。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（三）进一步规范信息公开程序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我局实际，及时补充主动公开的信息类别，既便于公民、获取、检索政府信息，又便于信息公开工作人员分类与操作。进一步规范文件公开程序，把文件公开审核纳入到文件制发程序之中，有效提高了公开效率。通过这些切合实际、公开透明的制度建设，使政务公开工作进一步规范化，更有约束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32"/>
          <w:szCs w:val="32"/>
          <w:lang w:eastAsia="zh-CN"/>
        </w:rPr>
      </w:pPr>
      <w:r>
        <w:rPr>
          <w:rFonts w:eastAsia="黑体"/>
          <w:b/>
          <w:bCs/>
          <w:color w:val="333333"/>
        </w:rPr>
        <w:t>二、主动公开政府信息情况</w:t>
      </w:r>
    </w:p>
    <w:tbl>
      <w:tblPr>
        <w:tblStyle w:val="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2435"/>
        <w:gridCol w:w="2435"/>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hAnsi="宋体"/>
                <w:color w:val="000000"/>
                <w:sz w:val="24"/>
                <w:lang w:val="en-US" w:eastAsia="zh-CN"/>
              </w:rPr>
              <w:t>0</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hAnsi="宋体"/>
                <w:color w:val="000000"/>
                <w:sz w:val="24"/>
                <w:lang w:val="en-US" w:eastAsia="zh-CN"/>
              </w:rPr>
              <w:t>0</w:t>
            </w:r>
          </w:p>
        </w:tc>
        <w:tc>
          <w:tcPr>
            <w:tcW w:w="2443"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sz w:val="24"/>
                <w:lang w:val="en-US" w:eastAsia="zh-CN"/>
              </w:rPr>
              <w:t>1</w:t>
            </w:r>
          </w:p>
        </w:tc>
        <w:tc>
          <w:tcPr>
            <w:tcW w:w="2435"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hAnsi="宋体"/>
                <w:color w:val="000000"/>
                <w:sz w:val="24"/>
                <w:lang w:val="en-US" w:eastAsia="zh-CN"/>
              </w:rPr>
              <w:t>0</w:t>
            </w:r>
          </w:p>
        </w:tc>
        <w:tc>
          <w:tcPr>
            <w:tcW w:w="2443" w:type="dxa"/>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color w:val="000000"/>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bl>
    <w:p>
      <w:r>
        <w:rPr>
          <w:rFonts w:eastAsia="黑体"/>
          <w:b/>
          <w:bCs/>
          <w:color w:val="333333"/>
        </w:rPr>
        <w:t>三、收到和处理政府信息公开申请情况</w:t>
      </w:r>
    </w:p>
    <w:tbl>
      <w:tblPr>
        <w:tblStyle w:val="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1"/>
        <w:gridCol w:w="949"/>
        <w:gridCol w:w="3210"/>
        <w:gridCol w:w="688"/>
        <w:gridCol w:w="688"/>
        <w:gridCol w:w="688"/>
        <w:gridCol w:w="688"/>
        <w:gridCol w:w="688"/>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3"/>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3"/>
            <w:vMerge w:val="continue"/>
            <w:noWrap w:val="0"/>
            <w:vAlign w:val="center"/>
          </w:tcPr>
          <w:p>
            <w:pPr>
              <w:spacing w:before="57" w:beforeLines="10" w:after="57" w:afterLines="10" w:line="300" w:lineRule="exact"/>
              <w:rPr>
                <w:sz w:val="24"/>
              </w:rPr>
            </w:pPr>
          </w:p>
        </w:tc>
        <w:tc>
          <w:tcPr>
            <w:tcW w:w="688" w:type="dxa"/>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3"/>
            <w:vMerge w:val="continue"/>
            <w:noWrap w:val="0"/>
            <w:vAlign w:val="center"/>
          </w:tcPr>
          <w:p>
            <w:pPr>
              <w:spacing w:before="57" w:beforeLines="10" w:after="57" w:afterLines="10" w:line="300" w:lineRule="exact"/>
              <w:rPr>
                <w:sz w:val="24"/>
              </w:rPr>
            </w:pPr>
          </w:p>
        </w:tc>
        <w:tc>
          <w:tcPr>
            <w:tcW w:w="688" w:type="dxa"/>
            <w:vMerge w:val="continue"/>
            <w:noWrap w:val="0"/>
            <w:vAlign w:val="center"/>
          </w:tcPr>
          <w:p>
            <w:pPr>
              <w:spacing w:before="57" w:beforeLines="10" w:after="57" w:afterLines="10" w:line="300" w:lineRule="exact"/>
              <w:rPr>
                <w:sz w:val="24"/>
              </w:rPr>
            </w:pP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3"/>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3"/>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4159"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949" w:type="dxa"/>
            <w:vMerge w:val="continue"/>
            <w:noWrap w:val="0"/>
            <w:vAlign w:val="center"/>
          </w:tcPr>
          <w:p>
            <w:pPr>
              <w:spacing w:before="80" w:beforeLines="14" w:after="80" w:afterLines="14" w:line="300" w:lineRule="exact"/>
              <w:rPr>
                <w:sz w:val="24"/>
              </w:rPr>
            </w:pPr>
          </w:p>
        </w:tc>
        <w:tc>
          <w:tcPr>
            <w:tcW w:w="3210" w:type="dxa"/>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vMerge w:val="continue"/>
            <w:noWrap w:val="0"/>
            <w:vAlign w:val="center"/>
          </w:tcPr>
          <w:p>
            <w:pPr>
              <w:spacing w:before="80" w:beforeLines="14" w:after="80" w:afterLines="14" w:line="300" w:lineRule="exact"/>
              <w:rPr>
                <w:sz w:val="24"/>
              </w:rPr>
            </w:pPr>
          </w:p>
        </w:tc>
        <w:tc>
          <w:tcPr>
            <w:tcW w:w="4159" w:type="dxa"/>
            <w:gridSpan w:val="2"/>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3"/>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p>
        </w:tc>
      </w:tr>
    </w:tbl>
    <w:p>
      <w:r>
        <w:rPr>
          <w:rFonts w:eastAsia="黑体"/>
          <w:b/>
          <w:bCs/>
          <w:color w:val="333333"/>
        </w:rPr>
        <w:t>四、政府信息公开行政复议、行政诉讼情况</w:t>
      </w:r>
    </w:p>
    <w:tbl>
      <w:tblPr>
        <w:tblStyle w:val="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5"/>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5"/>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5"/>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0"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rPr>
                <w:sz w:val="24"/>
              </w:rPr>
            </w:pPr>
            <w:r>
              <w:rPr>
                <w:rFonts w:hint="eastAsia"/>
                <w:sz w:val="24"/>
                <w:lang w:val="en-US" w:eastAsia="zh-CN"/>
              </w:rPr>
              <w:t>0</w:t>
            </w:r>
          </w:p>
        </w:tc>
      </w:tr>
    </w:tbl>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textAlignment w:val="auto"/>
        <w:rPr>
          <w:rFonts w:eastAsia="黑体"/>
          <w:b/>
          <w:bCs/>
          <w:color w:val="333333"/>
        </w:rPr>
      </w:pPr>
      <w:r>
        <w:rPr>
          <w:rFonts w:eastAsia="黑体"/>
          <w:b/>
          <w:bCs/>
          <w:color w:val="333333"/>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政务信息公开虽然取得了长足的进步，但与群众要求还有一定差距，工作还存在一些问题：一是信息公开质量有待提高。二是信息公开内容还不够全面，信息发布还不够规范。三是信息公开保障措施还不够完善，个别信息更新公开不够及时等。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下一步我局将加大政府信息公开工作力度，加强信息公开工作体制机制建设，健全监督考核机制，采取有力措施，进一步推进我局政府信息公开工作全面深入开展。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480"/>
        <w:textAlignment w:val="auto"/>
        <w:rPr>
          <w:rFonts w:eastAsia="黑体"/>
          <w:b/>
          <w:bCs/>
          <w:color w:val="333333"/>
        </w:rPr>
      </w:pPr>
      <w:r>
        <w:rPr>
          <w:rFonts w:eastAsia="黑体"/>
          <w:b/>
          <w:bCs/>
          <w:color w:val="333333"/>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本单位无其他需要报告的事项，无收取信息处理费情况</w:t>
      </w:r>
      <w:r>
        <w:rPr>
          <w:rFonts w:hint="eastAsia" w:ascii="仿宋_GB2312" w:hAnsi="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zBjYjI1MTU2NGE3NjZjMGQ1NGYyOTMwMjhjNzUifQ=="/>
  </w:docVars>
  <w:rsids>
    <w:rsidRoot w:val="00000000"/>
    <w:rsid w:val="0CF23558"/>
    <w:rsid w:val="0FE87097"/>
    <w:rsid w:val="27DE4BDA"/>
    <w:rsid w:val="2C8E4DF8"/>
    <w:rsid w:val="3EDF260B"/>
    <w:rsid w:val="4A256B07"/>
    <w:rsid w:val="5B792E20"/>
    <w:rsid w:val="71B10A10"/>
    <w:rsid w:val="75E847C5"/>
    <w:rsid w:val="7FF6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Reaction</cp:lastModifiedBy>
  <dcterms:modified xsi:type="dcterms:W3CDTF">2024-04-29T09:27:31Z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A400F3B87E8F426484741716D574490C_13</vt:lpwstr>
  </property>
</Properties>
</file>