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pStyle w:val="29"/>
        <w:ind w:firstLine="0" w:firstLineChars="0"/>
        <w:rPr>
          <w:rFonts w:ascii="仿宋" w:hAnsi="仿宋" w:eastAsia="仿宋"/>
        </w:rPr>
      </w:pPr>
    </w:p>
    <w:p>
      <w:pPr>
        <w:pStyle w:val="29"/>
        <w:ind w:firstLine="0" w:firstLineChars="0"/>
        <w:rPr>
          <w:rFonts w:ascii="仿宋" w:hAnsi="仿宋" w:eastAsia="仿宋"/>
        </w:rPr>
      </w:pPr>
    </w:p>
    <w:p>
      <w:pPr>
        <w:pStyle w:val="29"/>
        <w:spacing w:line="360" w:lineRule="auto"/>
        <w:ind w:firstLine="0" w:firstLineChars="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乐清市数字经济发展“十四五”规划</w:t>
      </w:r>
    </w:p>
    <w:p>
      <w:pPr>
        <w:pStyle w:val="29"/>
        <w:spacing w:line="360" w:lineRule="auto"/>
        <w:ind w:firstLine="0" w:firstLineChars="0"/>
        <w:jc w:val="center"/>
        <w:rPr>
          <w:rFonts w:hint="eastAsia" w:ascii="楷体" w:hAnsi="楷体" w:eastAsia="楷体" w:cs="楷体"/>
          <w:sz w:val="32"/>
          <w:szCs w:val="32"/>
        </w:rPr>
      </w:pPr>
      <w:r>
        <w:rPr>
          <w:rFonts w:hint="eastAsia" w:ascii="楷体" w:hAnsi="楷体" w:eastAsia="楷体" w:cs="楷体"/>
          <w:sz w:val="32"/>
          <w:szCs w:val="32"/>
        </w:rPr>
        <w:t>（初稿）</w:t>
      </w: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ascii="仿宋" w:hAnsi="仿宋" w:eastAsia="仿宋"/>
        </w:rPr>
      </w:pPr>
    </w:p>
    <w:p>
      <w:pPr>
        <w:pStyle w:val="29"/>
        <w:ind w:firstLine="640"/>
        <w:rPr>
          <w:rFonts w:hint="eastAsia" w:ascii="黑体" w:hAnsi="黑体" w:eastAsia="黑体" w:cs="黑体"/>
        </w:rPr>
      </w:pPr>
    </w:p>
    <w:p>
      <w:pPr>
        <w:pStyle w:val="29"/>
        <w:ind w:firstLine="0" w:firstLineChars="0"/>
        <w:jc w:val="center"/>
        <w:rPr>
          <w:rFonts w:hint="eastAsia" w:ascii="黑体" w:hAnsi="黑体" w:eastAsia="黑体" w:cs="黑体"/>
          <w:b/>
          <w:bCs/>
          <w:spacing w:val="34"/>
        </w:rPr>
      </w:pPr>
      <w:r>
        <w:rPr>
          <w:rFonts w:hint="eastAsia" w:ascii="黑体" w:hAnsi="黑体" w:eastAsia="黑体" w:cs="黑体"/>
          <w:b/>
          <w:bCs/>
          <w:spacing w:val="34"/>
        </w:rPr>
        <w:t>乐清市经济和信息化局</w:t>
      </w:r>
    </w:p>
    <w:p>
      <w:pPr>
        <w:pStyle w:val="29"/>
        <w:ind w:firstLine="0" w:firstLineChars="0"/>
        <w:jc w:val="center"/>
        <w:rPr>
          <w:rFonts w:hint="eastAsia" w:ascii="黑体" w:hAnsi="黑体" w:eastAsia="黑体" w:cs="黑体"/>
          <w:b/>
          <w:bCs/>
        </w:rPr>
      </w:pPr>
      <w:r>
        <w:rPr>
          <w:rFonts w:hint="eastAsia" w:ascii="黑体" w:hAnsi="黑体" w:eastAsia="黑体" w:cs="黑体"/>
          <w:b/>
          <w:bCs/>
        </w:rPr>
        <w:t>浙江省图灵互联网研究院</w:t>
      </w:r>
    </w:p>
    <w:p>
      <w:pPr>
        <w:pStyle w:val="29"/>
        <w:ind w:firstLine="0" w:firstLineChars="0"/>
        <w:jc w:val="center"/>
        <w:rPr>
          <w:rFonts w:hint="eastAsia" w:ascii="黑体" w:hAnsi="黑体" w:eastAsia="黑体" w:cs="黑体"/>
        </w:rPr>
      </w:pPr>
      <w:r>
        <w:rPr>
          <w:rFonts w:hint="eastAsia" w:ascii="黑体" w:hAnsi="黑体" w:eastAsia="黑体" w:cs="黑体"/>
          <w:b/>
          <w:bCs/>
        </w:rPr>
        <w:t>二〇二二年一月</w:t>
      </w:r>
    </w:p>
    <w:p>
      <w:pPr>
        <w:pStyle w:val="29"/>
        <w:ind w:firstLine="640"/>
        <w:rPr>
          <w:rFonts w:ascii="仿宋" w:hAnsi="仿宋" w:eastAsia="仿宋"/>
        </w:rPr>
      </w:pPr>
    </w:p>
    <w:p>
      <w:pPr>
        <w:pStyle w:val="29"/>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黑体" w:hAnsi="黑体" w:eastAsia="黑体" w:cs="黑体"/>
        </w:rPr>
      </w:pPr>
      <w:bookmarkStart w:id="0" w:name="_Toc48506560"/>
      <w:bookmarkStart w:id="1" w:name="_Toc58781375"/>
      <w:bookmarkStart w:id="2" w:name="_Toc50925374"/>
      <w:bookmarkStart w:id="3" w:name="_Toc58832915"/>
      <w:bookmarkStart w:id="4" w:name="_Toc55675799"/>
      <w:bookmarkStart w:id="5" w:name="_Toc60858910"/>
      <w:bookmarkStart w:id="6" w:name="_Toc54379524"/>
      <w:bookmarkStart w:id="7" w:name="_Toc60738252"/>
      <w:bookmarkStart w:id="8" w:name="_Toc92986451"/>
      <w:bookmarkStart w:id="9" w:name="_Toc70266720"/>
      <w:bookmarkStart w:id="10" w:name="_Toc58842418"/>
      <w:bookmarkStart w:id="11" w:name="_Toc49604773"/>
      <w:bookmarkStart w:id="12" w:name="_Toc59615217"/>
      <w:bookmarkStart w:id="13" w:name="_Toc50479254"/>
      <w:bookmarkStart w:id="14" w:name="_Toc49796055"/>
      <w:bookmarkStart w:id="15" w:name="_Toc73024093"/>
      <w:bookmarkStart w:id="16" w:name="_Toc58436628"/>
      <w:bookmarkStart w:id="17" w:name="_Toc49757498"/>
      <w:bookmarkStart w:id="18" w:name="_Toc52388541"/>
      <w:bookmarkStart w:id="19" w:name="_Toc64663475"/>
      <w:r>
        <w:rPr>
          <w:rFonts w:hint="eastAsia" w:ascii="黑体" w:hAnsi="黑体" w:eastAsia="黑体" w:cs="黑体"/>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29"/>
        <w:spacing w:line="360" w:lineRule="auto"/>
        <w:ind w:firstLine="640"/>
        <w:rPr>
          <w:rFonts w:ascii="仿宋" w:hAnsi="仿宋" w:eastAsia="仿宋"/>
        </w:rPr>
      </w:pPr>
      <w:r>
        <w:rPr>
          <w:rFonts w:hint="eastAsia" w:ascii="仿宋" w:hAnsi="仿宋" w:eastAsia="仿宋"/>
        </w:rPr>
        <w:t>数字经济是指以数据资源为关键生产要素，以现代信息网络为主要载体，以信息通信技术融合应用、全要素数字化转型为重要推动力，促进效率提升和经济结构优化的新经济形态。数字经济正在成为重组要素资源、重塑经济结构、改变竞争格局的关键力量，是构建现代化经济体系的重要引擎。“十四五”时期是乐清市高水平全面建成小康社会之后，全面开启社会主义现代化新征程的第一个五年，也是开启高质量发展新征程的关键期。发展数字经济从更深层次上和更广领域推动乐清加快建设现代化经济体系，有利于增强我市经济质量优势。</w:t>
      </w:r>
    </w:p>
    <w:p>
      <w:pPr>
        <w:pStyle w:val="29"/>
        <w:spacing w:line="360" w:lineRule="auto"/>
        <w:ind w:firstLine="640"/>
        <w:rPr>
          <w:rFonts w:ascii="仿宋" w:hAnsi="仿宋" w:eastAsia="仿宋"/>
        </w:rPr>
      </w:pPr>
      <w:r>
        <w:rPr>
          <w:rFonts w:hint="eastAsia" w:ascii="仿宋" w:hAnsi="仿宋" w:eastAsia="仿宋"/>
        </w:rPr>
        <w:t>为了贯彻落实党中央、国务院关于加快数字经济发展的决策部署和省委、省政府及市委、市政府的工作要求，加快构建以数据为关键要素的数字经济，推动经济高质量发展，结合我市实际，依据《浙江省数字经济发展“十四五”规划》、《温州市数字经济发展“十四五”规划》和《乐清市国民经济和社会发展第十四个五年规划和二〇三五年远景目标纲要》等文件制定本规划。本规划是指导未来五年乐清数字经济发展的行动纲领，规划范围为乐清市域，规划期限为</w:t>
      </w:r>
      <w:r>
        <w:rPr>
          <w:rFonts w:ascii="仿宋" w:hAnsi="仿宋" w:eastAsia="仿宋"/>
        </w:rPr>
        <w:t>2021</w:t>
      </w:r>
      <w:r>
        <w:rPr>
          <w:rFonts w:hint="eastAsia" w:ascii="仿宋" w:hAnsi="仿宋" w:eastAsia="仿宋"/>
        </w:rPr>
        <w:t>—</w:t>
      </w:r>
      <w:r>
        <w:rPr>
          <w:rFonts w:ascii="仿宋" w:hAnsi="仿宋" w:eastAsia="仿宋"/>
        </w:rPr>
        <w:t>2025</w:t>
      </w:r>
      <w:r>
        <w:rPr>
          <w:rFonts w:hint="eastAsia" w:ascii="仿宋" w:hAnsi="仿宋" w:eastAsia="仿宋"/>
        </w:rPr>
        <w:t>年。</w:t>
      </w:r>
    </w:p>
    <w:p>
      <w:pPr>
        <w:pStyle w:val="29"/>
        <w:ind w:firstLine="640"/>
        <w:rPr>
          <w:rFonts w:ascii="仿宋" w:hAnsi="仿宋" w:eastAsia="仿宋"/>
        </w:rPr>
      </w:pPr>
    </w:p>
    <w:p>
      <w:pPr>
        <w:pStyle w:val="29"/>
        <w:ind w:firstLine="640"/>
        <w:rPr>
          <w:rFonts w:ascii="仿宋" w:hAnsi="仿宋" w:eastAsia="仿宋"/>
        </w:rPr>
        <w:sectPr>
          <w:pgSz w:w="11906" w:h="16838"/>
          <w:pgMar w:top="1440" w:right="1800" w:bottom="1440" w:left="1800" w:header="851" w:footer="992" w:gutter="0"/>
          <w:pgNumType w:fmt="upperRoman" w:start="1"/>
          <w:cols w:space="425" w:num="1"/>
          <w:docGrid w:type="lines" w:linePitch="312" w:charSpace="0"/>
        </w:sectPr>
      </w:pPr>
    </w:p>
    <w:p>
      <w:pPr>
        <w:pStyle w:val="29"/>
        <w:ind w:firstLine="0" w:firstLineChars="0"/>
        <w:jc w:val="center"/>
        <w:rPr>
          <w:rFonts w:hint="eastAsia" w:ascii="黑体" w:hAnsi="黑体" w:eastAsia="黑体" w:cs="黑体"/>
        </w:rPr>
      </w:pPr>
      <w:bookmarkStart w:id="20" w:name="_Toc49796056"/>
      <w:bookmarkStart w:id="21" w:name="_Toc60738253"/>
      <w:bookmarkStart w:id="22" w:name="_Toc48506561"/>
      <w:bookmarkStart w:id="23" w:name="_Toc73024094"/>
      <w:bookmarkStart w:id="24" w:name="_Toc64663476"/>
      <w:bookmarkStart w:id="25" w:name="_Toc50925375"/>
      <w:bookmarkStart w:id="26" w:name="_Toc58832916"/>
      <w:bookmarkStart w:id="27" w:name="_Toc68709651"/>
      <w:bookmarkStart w:id="28" w:name="_Toc54379525"/>
      <w:bookmarkStart w:id="29" w:name="_Toc55675800"/>
      <w:bookmarkStart w:id="30" w:name="_Toc70266721"/>
      <w:bookmarkStart w:id="31" w:name="_Toc49604774"/>
      <w:bookmarkStart w:id="32" w:name="_Toc52388542"/>
      <w:bookmarkStart w:id="33" w:name="_Toc60858911"/>
      <w:bookmarkStart w:id="34" w:name="_Toc49757499"/>
      <w:bookmarkStart w:id="35" w:name="_Toc58436629"/>
      <w:bookmarkStart w:id="36" w:name="_Toc92986452"/>
      <w:bookmarkStart w:id="37" w:name="_Toc59615218"/>
      <w:bookmarkStart w:id="38" w:name="_Toc50479255"/>
      <w:bookmarkStart w:id="39" w:name="_Toc58842419"/>
      <w:bookmarkStart w:id="40" w:name="_Toc58781376"/>
      <w:r>
        <w:rPr>
          <w:rFonts w:hint="eastAsia" w:ascii="黑体" w:hAnsi="黑体" w:eastAsia="黑体" w:cs="黑体"/>
        </w:rPr>
        <w:t>目  录</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cstheme="minorBidi"/>
          <w:sz w:val="28"/>
          <w:szCs w:val="28"/>
        </w:rPr>
        <w:fldChar w:fldCharType="begin"/>
      </w:r>
      <w:r>
        <w:rPr>
          <w:rFonts w:ascii="仿宋" w:hAnsi="仿宋" w:eastAsia="仿宋"/>
          <w:sz w:val="28"/>
          <w:szCs w:val="28"/>
        </w:rPr>
        <w:instrText xml:space="preserve"> TOC \o "1-3" \h \z \u </w:instrText>
      </w:r>
      <w:r>
        <w:rPr>
          <w:rFonts w:ascii="仿宋" w:hAnsi="仿宋" w:eastAsia="仿宋" w:cstheme="minorBidi"/>
          <w:sz w:val="28"/>
          <w:szCs w:val="28"/>
        </w:rPr>
        <w:fldChar w:fldCharType="separate"/>
      </w:r>
      <w:r>
        <w:rPr>
          <w:rFonts w:ascii="仿宋" w:hAnsi="仿宋" w:eastAsia="仿宋" w:cstheme="minorBidi"/>
          <w:sz w:val="28"/>
          <w:szCs w:val="28"/>
        </w:rPr>
        <w:fldChar w:fldCharType="begin"/>
      </w:r>
      <w:r>
        <w:rPr>
          <w:rFonts w:ascii="仿宋" w:hAnsi="仿宋" w:eastAsia="仿宋" w:cstheme="minorBidi"/>
          <w:sz w:val="28"/>
          <w:szCs w:val="28"/>
        </w:rPr>
        <w:instrText xml:space="preserve"> HYPERLINK \l _Toc19460 </w:instrText>
      </w:r>
      <w:r>
        <w:rPr>
          <w:rFonts w:ascii="仿宋" w:hAnsi="仿宋" w:eastAsia="仿宋" w:cstheme="minorBidi"/>
          <w:sz w:val="28"/>
          <w:szCs w:val="28"/>
        </w:rPr>
        <w:fldChar w:fldCharType="separate"/>
      </w:r>
      <w:r>
        <w:rPr>
          <w:rFonts w:hint="eastAsia" w:ascii="黑体" w:hAnsi="黑体" w:eastAsia="黑体" w:cs="黑体"/>
          <w:sz w:val="28"/>
          <w:szCs w:val="28"/>
        </w:rPr>
        <w:t>一、发展现状</w:t>
      </w:r>
      <w:r>
        <w:rPr>
          <w:sz w:val="28"/>
          <w:szCs w:val="28"/>
        </w:rPr>
        <w:tab/>
      </w:r>
      <w:r>
        <w:rPr>
          <w:sz w:val="28"/>
          <w:szCs w:val="28"/>
        </w:rPr>
        <w:fldChar w:fldCharType="begin"/>
      </w:r>
      <w:r>
        <w:rPr>
          <w:sz w:val="28"/>
          <w:szCs w:val="28"/>
        </w:rPr>
        <w:instrText xml:space="preserve"> PAGEREF _Toc19460 \h </w:instrText>
      </w:r>
      <w:r>
        <w:rPr>
          <w:sz w:val="28"/>
          <w:szCs w:val="28"/>
        </w:rPr>
        <w:fldChar w:fldCharType="separate"/>
      </w:r>
      <w:r>
        <w:rPr>
          <w:sz w:val="28"/>
          <w:szCs w:val="28"/>
        </w:rPr>
        <w:t>1</w:t>
      </w:r>
      <w:r>
        <w:rPr>
          <w:sz w:val="28"/>
          <w:szCs w:val="28"/>
        </w:rPr>
        <w:fldChar w:fldCharType="end"/>
      </w:r>
      <w:r>
        <w:rPr>
          <w:rFonts w:ascii="仿宋" w:hAnsi="仿宋" w:eastAsia="仿宋" w:cstheme="minorBidi"/>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_Toc15352 </w:instrText>
      </w:r>
      <w:r>
        <w:rPr>
          <w:rFonts w:ascii="仿宋" w:hAnsi="仿宋" w:eastAsia="仿宋"/>
          <w:kern w:val="0"/>
          <w:sz w:val="28"/>
          <w:szCs w:val="28"/>
        </w:rPr>
        <w:fldChar w:fldCharType="separate"/>
      </w:r>
      <w:r>
        <w:rPr>
          <w:rFonts w:hint="eastAsia" w:ascii="楷体" w:hAnsi="楷体" w:eastAsia="楷体" w:cs="楷体"/>
          <w:sz w:val="28"/>
          <w:szCs w:val="28"/>
        </w:rPr>
        <w:t>（一）发展基础</w:t>
      </w:r>
      <w:r>
        <w:rPr>
          <w:sz w:val="28"/>
          <w:szCs w:val="28"/>
        </w:rPr>
        <w:tab/>
      </w:r>
      <w:r>
        <w:rPr>
          <w:sz w:val="28"/>
          <w:szCs w:val="28"/>
        </w:rPr>
        <w:fldChar w:fldCharType="begin"/>
      </w:r>
      <w:r>
        <w:rPr>
          <w:sz w:val="28"/>
          <w:szCs w:val="28"/>
        </w:rPr>
        <w:instrText xml:space="preserve"> PAGEREF _Toc15352 \h </w:instrText>
      </w:r>
      <w:r>
        <w:rPr>
          <w:sz w:val="28"/>
          <w:szCs w:val="28"/>
        </w:rPr>
        <w:fldChar w:fldCharType="separate"/>
      </w:r>
      <w:r>
        <w:rPr>
          <w:sz w:val="28"/>
          <w:szCs w:val="28"/>
        </w:rPr>
        <w:t>1</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_Toc4162 </w:instrText>
      </w:r>
      <w:r>
        <w:rPr>
          <w:rFonts w:ascii="仿宋" w:hAnsi="仿宋" w:eastAsia="仿宋"/>
          <w:kern w:val="0"/>
          <w:sz w:val="28"/>
          <w:szCs w:val="28"/>
        </w:rPr>
        <w:fldChar w:fldCharType="separate"/>
      </w:r>
      <w:r>
        <w:rPr>
          <w:rFonts w:hint="eastAsia" w:ascii="仿宋" w:hAnsi="仿宋" w:eastAsia="仿宋"/>
          <w:sz w:val="28"/>
          <w:szCs w:val="28"/>
        </w:rPr>
        <w:t>1.数字产业规模不断壮大，综合实力全省领先</w:t>
      </w:r>
      <w:r>
        <w:rPr>
          <w:sz w:val="28"/>
          <w:szCs w:val="28"/>
        </w:rPr>
        <w:tab/>
      </w:r>
      <w:r>
        <w:rPr>
          <w:sz w:val="28"/>
          <w:szCs w:val="28"/>
        </w:rPr>
        <w:fldChar w:fldCharType="begin"/>
      </w:r>
      <w:r>
        <w:rPr>
          <w:sz w:val="28"/>
          <w:szCs w:val="28"/>
        </w:rPr>
        <w:instrText xml:space="preserve"> PAGEREF _Toc4162 \h </w:instrText>
      </w:r>
      <w:r>
        <w:rPr>
          <w:sz w:val="28"/>
          <w:szCs w:val="28"/>
        </w:rPr>
        <w:fldChar w:fldCharType="separate"/>
      </w:r>
      <w:r>
        <w:rPr>
          <w:sz w:val="28"/>
          <w:szCs w:val="28"/>
        </w:rPr>
        <w:t>1</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_Toc15457 </w:instrText>
      </w:r>
      <w:r>
        <w:rPr>
          <w:rFonts w:ascii="仿宋" w:hAnsi="仿宋" w:eastAsia="仿宋"/>
          <w:kern w:val="0"/>
          <w:sz w:val="28"/>
          <w:szCs w:val="28"/>
        </w:rPr>
        <w:fldChar w:fldCharType="separate"/>
      </w:r>
      <w:r>
        <w:rPr>
          <w:rFonts w:hint="eastAsia" w:ascii="仿宋" w:hAnsi="仿宋" w:eastAsia="仿宋"/>
          <w:sz w:val="28"/>
          <w:szCs w:val="28"/>
        </w:rPr>
        <w:t>2.工业数字改造进程加快，智能制造深入推进</w:t>
      </w:r>
      <w:r>
        <w:rPr>
          <w:sz w:val="28"/>
          <w:szCs w:val="28"/>
        </w:rPr>
        <w:tab/>
      </w:r>
      <w:r>
        <w:rPr>
          <w:sz w:val="28"/>
          <w:szCs w:val="28"/>
        </w:rPr>
        <w:fldChar w:fldCharType="begin"/>
      </w:r>
      <w:r>
        <w:rPr>
          <w:sz w:val="28"/>
          <w:szCs w:val="28"/>
        </w:rPr>
        <w:instrText xml:space="preserve"> PAGEREF _Toc15457 \h </w:instrText>
      </w:r>
      <w:r>
        <w:rPr>
          <w:sz w:val="28"/>
          <w:szCs w:val="28"/>
        </w:rPr>
        <w:fldChar w:fldCharType="separate"/>
      </w:r>
      <w:r>
        <w:rPr>
          <w:sz w:val="28"/>
          <w:szCs w:val="28"/>
        </w:rPr>
        <w:t>1</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_Toc15552 </w:instrText>
      </w:r>
      <w:r>
        <w:rPr>
          <w:rFonts w:ascii="仿宋" w:hAnsi="仿宋" w:eastAsia="仿宋"/>
          <w:kern w:val="0"/>
          <w:sz w:val="28"/>
          <w:szCs w:val="28"/>
        </w:rPr>
        <w:fldChar w:fldCharType="separate"/>
      </w:r>
      <w:r>
        <w:rPr>
          <w:rFonts w:hint="eastAsia" w:ascii="仿宋" w:hAnsi="仿宋" w:eastAsia="仿宋"/>
          <w:sz w:val="28"/>
          <w:szCs w:val="28"/>
        </w:rPr>
        <w:t>3.新模式新业态活跃发展，融合应用亮点频现</w:t>
      </w:r>
      <w:r>
        <w:rPr>
          <w:sz w:val="28"/>
          <w:szCs w:val="28"/>
        </w:rPr>
        <w:tab/>
      </w:r>
      <w:r>
        <w:rPr>
          <w:sz w:val="28"/>
          <w:szCs w:val="28"/>
        </w:rPr>
        <w:fldChar w:fldCharType="begin"/>
      </w:r>
      <w:r>
        <w:rPr>
          <w:sz w:val="28"/>
          <w:szCs w:val="28"/>
        </w:rPr>
        <w:instrText xml:space="preserve"> PAGEREF _Toc15552 \h </w:instrText>
      </w:r>
      <w:r>
        <w:rPr>
          <w:sz w:val="28"/>
          <w:szCs w:val="28"/>
        </w:rPr>
        <w:fldChar w:fldCharType="separate"/>
      </w:r>
      <w:r>
        <w:rPr>
          <w:sz w:val="28"/>
          <w:szCs w:val="28"/>
        </w:rPr>
        <w:t>2</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_Toc28255 </w:instrText>
      </w:r>
      <w:r>
        <w:rPr>
          <w:rFonts w:ascii="仿宋" w:hAnsi="仿宋" w:eastAsia="仿宋"/>
          <w:kern w:val="0"/>
          <w:sz w:val="28"/>
          <w:szCs w:val="28"/>
        </w:rPr>
        <w:fldChar w:fldCharType="separate"/>
      </w:r>
      <w:r>
        <w:rPr>
          <w:rFonts w:hint="eastAsia" w:ascii="仿宋" w:hAnsi="仿宋" w:eastAsia="仿宋"/>
          <w:sz w:val="28"/>
          <w:szCs w:val="28"/>
        </w:rPr>
        <w:t>4.政府数字转型持续推进，治理模式走在前列</w:t>
      </w:r>
      <w:r>
        <w:rPr>
          <w:sz w:val="28"/>
          <w:szCs w:val="28"/>
        </w:rPr>
        <w:tab/>
      </w:r>
      <w:r>
        <w:rPr>
          <w:sz w:val="28"/>
          <w:szCs w:val="28"/>
        </w:rPr>
        <w:fldChar w:fldCharType="begin"/>
      </w:r>
      <w:r>
        <w:rPr>
          <w:sz w:val="28"/>
          <w:szCs w:val="28"/>
        </w:rPr>
        <w:instrText xml:space="preserve"> PAGEREF _Toc28255 \h </w:instrText>
      </w:r>
      <w:r>
        <w:rPr>
          <w:sz w:val="28"/>
          <w:szCs w:val="28"/>
        </w:rPr>
        <w:fldChar w:fldCharType="separate"/>
      </w:r>
      <w:r>
        <w:rPr>
          <w:sz w:val="28"/>
          <w:szCs w:val="28"/>
        </w:rPr>
        <w:t>3</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_Toc15994 </w:instrText>
      </w:r>
      <w:r>
        <w:rPr>
          <w:rFonts w:ascii="仿宋" w:hAnsi="仿宋" w:eastAsia="仿宋"/>
          <w:kern w:val="0"/>
          <w:sz w:val="28"/>
          <w:szCs w:val="28"/>
        </w:rPr>
        <w:fldChar w:fldCharType="separate"/>
      </w:r>
      <w:r>
        <w:rPr>
          <w:rFonts w:hint="eastAsia" w:ascii="仿宋" w:hAnsi="仿宋" w:eastAsia="仿宋"/>
          <w:sz w:val="28"/>
          <w:szCs w:val="28"/>
        </w:rPr>
        <w:t>5.数字基础设施日趋完善，网络支撑能力增强</w:t>
      </w:r>
      <w:r>
        <w:rPr>
          <w:sz w:val="28"/>
          <w:szCs w:val="28"/>
        </w:rPr>
        <w:tab/>
      </w:r>
      <w:r>
        <w:rPr>
          <w:sz w:val="28"/>
          <w:szCs w:val="28"/>
        </w:rPr>
        <w:fldChar w:fldCharType="begin"/>
      </w:r>
      <w:r>
        <w:rPr>
          <w:sz w:val="28"/>
          <w:szCs w:val="28"/>
        </w:rPr>
        <w:instrText xml:space="preserve"> PAGEREF _Toc15994 \h </w:instrText>
      </w:r>
      <w:r>
        <w:rPr>
          <w:sz w:val="28"/>
          <w:szCs w:val="28"/>
        </w:rPr>
        <w:fldChar w:fldCharType="separate"/>
      </w:r>
      <w:r>
        <w:rPr>
          <w:sz w:val="28"/>
          <w:szCs w:val="28"/>
        </w:rPr>
        <w:t>3</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_Toc26547 </w:instrText>
      </w:r>
      <w:r>
        <w:rPr>
          <w:rFonts w:ascii="仿宋" w:hAnsi="仿宋" w:eastAsia="仿宋"/>
          <w:kern w:val="0"/>
          <w:sz w:val="28"/>
          <w:szCs w:val="28"/>
        </w:rPr>
        <w:fldChar w:fldCharType="separate"/>
      </w:r>
      <w:r>
        <w:rPr>
          <w:rFonts w:hint="eastAsia" w:ascii="仿宋" w:hAnsi="仿宋" w:eastAsia="仿宋"/>
          <w:sz w:val="28"/>
          <w:szCs w:val="28"/>
        </w:rPr>
        <w:t>6.产业发展环境日益优化，工作机制不断健全</w:t>
      </w:r>
      <w:r>
        <w:rPr>
          <w:sz w:val="28"/>
          <w:szCs w:val="28"/>
        </w:rPr>
        <w:tab/>
      </w:r>
      <w:r>
        <w:rPr>
          <w:sz w:val="28"/>
          <w:szCs w:val="28"/>
        </w:rPr>
        <w:fldChar w:fldCharType="begin"/>
      </w:r>
      <w:r>
        <w:rPr>
          <w:sz w:val="28"/>
          <w:szCs w:val="28"/>
        </w:rPr>
        <w:instrText xml:space="preserve"> PAGEREF _Toc26547 \h </w:instrText>
      </w:r>
      <w:r>
        <w:rPr>
          <w:sz w:val="28"/>
          <w:szCs w:val="28"/>
        </w:rPr>
        <w:fldChar w:fldCharType="separate"/>
      </w:r>
      <w:r>
        <w:rPr>
          <w:sz w:val="28"/>
          <w:szCs w:val="28"/>
        </w:rPr>
        <w:t>4</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_Toc1563 </w:instrText>
      </w:r>
      <w:r>
        <w:rPr>
          <w:rFonts w:ascii="仿宋" w:hAnsi="仿宋" w:eastAsia="仿宋"/>
          <w:kern w:val="0"/>
          <w:sz w:val="28"/>
          <w:szCs w:val="28"/>
        </w:rPr>
        <w:fldChar w:fldCharType="separate"/>
      </w:r>
      <w:r>
        <w:rPr>
          <w:rFonts w:hint="eastAsia" w:ascii="楷体" w:hAnsi="楷体" w:eastAsia="楷体" w:cs="楷体"/>
          <w:sz w:val="28"/>
          <w:szCs w:val="28"/>
        </w:rPr>
        <w:t>（二）存在问题</w:t>
      </w:r>
      <w:r>
        <w:rPr>
          <w:sz w:val="28"/>
          <w:szCs w:val="28"/>
        </w:rPr>
        <w:tab/>
      </w:r>
      <w:r>
        <w:rPr>
          <w:sz w:val="28"/>
          <w:szCs w:val="28"/>
        </w:rPr>
        <w:fldChar w:fldCharType="begin"/>
      </w:r>
      <w:r>
        <w:rPr>
          <w:sz w:val="28"/>
          <w:szCs w:val="28"/>
        </w:rPr>
        <w:instrText xml:space="preserve"> PAGEREF _Toc1563 \h </w:instrText>
      </w:r>
      <w:r>
        <w:rPr>
          <w:sz w:val="28"/>
          <w:szCs w:val="28"/>
        </w:rPr>
        <w:fldChar w:fldCharType="separate"/>
      </w:r>
      <w:r>
        <w:rPr>
          <w:sz w:val="28"/>
          <w:szCs w:val="28"/>
        </w:rPr>
        <w:t>4</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_Toc26779 </w:instrText>
      </w:r>
      <w:r>
        <w:rPr>
          <w:rFonts w:ascii="仿宋" w:hAnsi="仿宋" w:eastAsia="仿宋"/>
          <w:kern w:val="0"/>
          <w:sz w:val="28"/>
          <w:szCs w:val="28"/>
        </w:rPr>
        <w:fldChar w:fldCharType="separate"/>
      </w:r>
      <w:r>
        <w:rPr>
          <w:rFonts w:hint="eastAsia" w:ascii="仿宋" w:hAnsi="仿宋" w:eastAsia="仿宋"/>
          <w:sz w:val="28"/>
          <w:szCs w:val="28"/>
        </w:rPr>
        <w:t>1.核心产业能级不高，质效有待提升</w:t>
      </w:r>
      <w:r>
        <w:rPr>
          <w:sz w:val="28"/>
          <w:szCs w:val="28"/>
        </w:rPr>
        <w:tab/>
      </w:r>
      <w:r>
        <w:rPr>
          <w:sz w:val="28"/>
          <w:szCs w:val="28"/>
        </w:rPr>
        <w:fldChar w:fldCharType="begin"/>
      </w:r>
      <w:r>
        <w:rPr>
          <w:sz w:val="28"/>
          <w:szCs w:val="28"/>
        </w:rPr>
        <w:instrText xml:space="preserve"> PAGEREF _Toc26779 \h </w:instrText>
      </w:r>
      <w:r>
        <w:rPr>
          <w:sz w:val="28"/>
          <w:szCs w:val="28"/>
        </w:rPr>
        <w:fldChar w:fldCharType="separate"/>
      </w:r>
      <w:r>
        <w:rPr>
          <w:sz w:val="28"/>
          <w:szCs w:val="28"/>
        </w:rPr>
        <w:t>5</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_Toc9249 </w:instrText>
      </w:r>
      <w:r>
        <w:rPr>
          <w:rFonts w:ascii="仿宋" w:hAnsi="仿宋" w:eastAsia="仿宋"/>
          <w:kern w:val="0"/>
          <w:sz w:val="28"/>
          <w:szCs w:val="28"/>
        </w:rPr>
        <w:fldChar w:fldCharType="separate"/>
      </w:r>
      <w:r>
        <w:rPr>
          <w:rFonts w:hint="eastAsia" w:ascii="仿宋" w:hAnsi="仿宋" w:eastAsia="仿宋"/>
          <w:sz w:val="28"/>
          <w:szCs w:val="28"/>
        </w:rPr>
        <w:t>2.科技创新驱动不足，人才招引困难</w:t>
      </w:r>
      <w:r>
        <w:rPr>
          <w:sz w:val="28"/>
          <w:szCs w:val="28"/>
        </w:rPr>
        <w:tab/>
      </w:r>
      <w:r>
        <w:rPr>
          <w:sz w:val="28"/>
          <w:szCs w:val="28"/>
        </w:rPr>
        <w:fldChar w:fldCharType="begin"/>
      </w:r>
      <w:r>
        <w:rPr>
          <w:sz w:val="28"/>
          <w:szCs w:val="28"/>
        </w:rPr>
        <w:instrText xml:space="preserve"> PAGEREF _Toc9249 \h </w:instrText>
      </w:r>
      <w:r>
        <w:rPr>
          <w:sz w:val="28"/>
          <w:szCs w:val="28"/>
        </w:rPr>
        <w:fldChar w:fldCharType="separate"/>
      </w:r>
      <w:r>
        <w:rPr>
          <w:sz w:val="28"/>
          <w:szCs w:val="28"/>
        </w:rPr>
        <w:t>5</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_Toc13298 </w:instrText>
      </w:r>
      <w:r>
        <w:rPr>
          <w:rFonts w:ascii="仿宋" w:hAnsi="仿宋" w:eastAsia="仿宋"/>
          <w:kern w:val="0"/>
          <w:sz w:val="28"/>
          <w:szCs w:val="28"/>
        </w:rPr>
        <w:fldChar w:fldCharType="separate"/>
      </w:r>
      <w:r>
        <w:rPr>
          <w:rFonts w:hint="eastAsia" w:ascii="仿宋" w:hAnsi="仿宋" w:eastAsia="仿宋"/>
          <w:sz w:val="28"/>
          <w:szCs w:val="28"/>
        </w:rPr>
        <w:t>3.数字应用深度不够，平台服务欠佳</w:t>
      </w:r>
      <w:r>
        <w:rPr>
          <w:sz w:val="28"/>
          <w:szCs w:val="28"/>
        </w:rPr>
        <w:tab/>
      </w:r>
      <w:r>
        <w:rPr>
          <w:sz w:val="28"/>
          <w:szCs w:val="28"/>
        </w:rPr>
        <w:fldChar w:fldCharType="begin"/>
      </w:r>
      <w:r>
        <w:rPr>
          <w:sz w:val="28"/>
          <w:szCs w:val="28"/>
        </w:rPr>
        <w:instrText xml:space="preserve"> PAGEREF _Toc13298 \h </w:instrText>
      </w:r>
      <w:r>
        <w:rPr>
          <w:sz w:val="28"/>
          <w:szCs w:val="28"/>
        </w:rPr>
        <w:fldChar w:fldCharType="separate"/>
      </w:r>
      <w:r>
        <w:rPr>
          <w:sz w:val="28"/>
          <w:szCs w:val="28"/>
        </w:rPr>
        <w:t>6</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_Toc15107 </w:instrText>
      </w:r>
      <w:r>
        <w:rPr>
          <w:rFonts w:ascii="仿宋" w:hAnsi="仿宋" w:eastAsia="仿宋"/>
          <w:kern w:val="0"/>
          <w:sz w:val="28"/>
          <w:szCs w:val="28"/>
        </w:rPr>
        <w:fldChar w:fldCharType="separate"/>
      </w:r>
      <w:r>
        <w:rPr>
          <w:rFonts w:hint="eastAsia" w:ascii="仿宋" w:hAnsi="仿宋" w:eastAsia="仿宋"/>
          <w:sz w:val="28"/>
          <w:szCs w:val="28"/>
        </w:rPr>
        <w:t>4.数据价值挖掘不深，共享有待加强</w:t>
      </w:r>
      <w:r>
        <w:rPr>
          <w:sz w:val="28"/>
          <w:szCs w:val="28"/>
        </w:rPr>
        <w:tab/>
      </w:r>
      <w:r>
        <w:rPr>
          <w:sz w:val="28"/>
          <w:szCs w:val="28"/>
        </w:rPr>
        <w:fldChar w:fldCharType="begin"/>
      </w:r>
      <w:r>
        <w:rPr>
          <w:sz w:val="28"/>
          <w:szCs w:val="28"/>
        </w:rPr>
        <w:instrText xml:space="preserve"> PAGEREF _Toc15107 \h </w:instrText>
      </w:r>
      <w:r>
        <w:rPr>
          <w:sz w:val="28"/>
          <w:szCs w:val="28"/>
        </w:rPr>
        <w:fldChar w:fldCharType="separate"/>
      </w:r>
      <w:r>
        <w:rPr>
          <w:sz w:val="28"/>
          <w:szCs w:val="28"/>
        </w:rPr>
        <w:t>6</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_Toc18738 </w:instrText>
      </w:r>
      <w:r>
        <w:rPr>
          <w:rFonts w:ascii="仿宋" w:hAnsi="仿宋" w:eastAsia="仿宋"/>
          <w:kern w:val="0"/>
          <w:sz w:val="28"/>
          <w:szCs w:val="28"/>
        </w:rPr>
        <w:fldChar w:fldCharType="separate"/>
      </w:r>
      <w:r>
        <w:rPr>
          <w:rFonts w:hint="eastAsia" w:ascii="楷体" w:hAnsi="楷体" w:eastAsia="楷体" w:cs="楷体"/>
          <w:sz w:val="28"/>
          <w:szCs w:val="28"/>
        </w:rPr>
        <w:t>（三）发展形势</w:t>
      </w:r>
      <w:r>
        <w:rPr>
          <w:sz w:val="28"/>
          <w:szCs w:val="28"/>
        </w:rPr>
        <w:tab/>
      </w:r>
      <w:r>
        <w:rPr>
          <w:sz w:val="28"/>
          <w:szCs w:val="28"/>
        </w:rPr>
        <w:fldChar w:fldCharType="begin"/>
      </w:r>
      <w:r>
        <w:rPr>
          <w:sz w:val="28"/>
          <w:szCs w:val="28"/>
        </w:rPr>
        <w:instrText xml:space="preserve"> PAGEREF _Toc18738 \h </w:instrText>
      </w:r>
      <w:r>
        <w:rPr>
          <w:sz w:val="28"/>
          <w:szCs w:val="28"/>
        </w:rPr>
        <w:fldChar w:fldCharType="separate"/>
      </w:r>
      <w:r>
        <w:rPr>
          <w:sz w:val="28"/>
          <w:szCs w:val="28"/>
        </w:rPr>
        <w:t>7</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_Toc8112 </w:instrText>
      </w:r>
      <w:r>
        <w:rPr>
          <w:rFonts w:ascii="仿宋" w:hAnsi="仿宋" w:eastAsia="仿宋"/>
          <w:kern w:val="0"/>
          <w:sz w:val="28"/>
          <w:szCs w:val="28"/>
        </w:rPr>
        <w:fldChar w:fldCharType="separate"/>
      </w:r>
      <w:r>
        <w:rPr>
          <w:rFonts w:hint="eastAsia" w:ascii="仿宋" w:hAnsi="仿宋" w:eastAsia="仿宋"/>
          <w:sz w:val="28"/>
          <w:szCs w:val="28"/>
        </w:rPr>
        <w:t>1.从国际来看，数字经济成为构筑经济增长的新支撑</w:t>
      </w:r>
      <w:r>
        <w:rPr>
          <w:sz w:val="28"/>
          <w:szCs w:val="28"/>
        </w:rPr>
        <w:tab/>
      </w:r>
      <w:r>
        <w:rPr>
          <w:sz w:val="28"/>
          <w:szCs w:val="28"/>
        </w:rPr>
        <w:fldChar w:fldCharType="begin"/>
      </w:r>
      <w:r>
        <w:rPr>
          <w:sz w:val="28"/>
          <w:szCs w:val="28"/>
        </w:rPr>
        <w:instrText xml:space="preserve"> PAGEREF _Toc8112 \h </w:instrText>
      </w:r>
      <w:r>
        <w:rPr>
          <w:sz w:val="28"/>
          <w:szCs w:val="28"/>
        </w:rPr>
        <w:fldChar w:fldCharType="separate"/>
      </w:r>
      <w:r>
        <w:rPr>
          <w:sz w:val="28"/>
          <w:szCs w:val="28"/>
        </w:rPr>
        <w:t>7</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_Toc6017 </w:instrText>
      </w:r>
      <w:r>
        <w:rPr>
          <w:rFonts w:ascii="仿宋" w:hAnsi="仿宋" w:eastAsia="仿宋"/>
          <w:kern w:val="0"/>
          <w:sz w:val="28"/>
          <w:szCs w:val="28"/>
        </w:rPr>
        <w:fldChar w:fldCharType="separate"/>
      </w:r>
      <w:r>
        <w:rPr>
          <w:rFonts w:hint="eastAsia" w:ascii="仿宋" w:hAnsi="仿宋" w:eastAsia="仿宋"/>
          <w:sz w:val="28"/>
          <w:szCs w:val="28"/>
        </w:rPr>
        <w:t>2.从国内来看，数字经济成为重大战略部署的新重点</w:t>
      </w:r>
      <w:r>
        <w:rPr>
          <w:sz w:val="28"/>
          <w:szCs w:val="28"/>
        </w:rPr>
        <w:tab/>
      </w:r>
      <w:r>
        <w:rPr>
          <w:sz w:val="28"/>
          <w:szCs w:val="28"/>
        </w:rPr>
        <w:fldChar w:fldCharType="begin"/>
      </w:r>
      <w:r>
        <w:rPr>
          <w:sz w:val="28"/>
          <w:szCs w:val="28"/>
        </w:rPr>
        <w:instrText xml:space="preserve"> PAGEREF _Toc6017 \h </w:instrText>
      </w:r>
      <w:r>
        <w:rPr>
          <w:sz w:val="28"/>
          <w:szCs w:val="28"/>
        </w:rPr>
        <w:fldChar w:fldCharType="separate"/>
      </w:r>
      <w:r>
        <w:rPr>
          <w:sz w:val="28"/>
          <w:szCs w:val="28"/>
        </w:rPr>
        <w:t>7</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_Toc738 </w:instrText>
      </w:r>
      <w:r>
        <w:rPr>
          <w:rFonts w:ascii="仿宋" w:hAnsi="仿宋" w:eastAsia="仿宋"/>
          <w:kern w:val="0"/>
          <w:sz w:val="28"/>
          <w:szCs w:val="28"/>
        </w:rPr>
        <w:fldChar w:fldCharType="separate"/>
      </w:r>
      <w:r>
        <w:rPr>
          <w:rFonts w:hint="eastAsia" w:ascii="仿宋" w:hAnsi="仿宋" w:eastAsia="仿宋"/>
          <w:sz w:val="28"/>
          <w:szCs w:val="28"/>
        </w:rPr>
        <w:t>3.从浙江来看，数字化改革开启数字经济发展新阶段</w:t>
      </w:r>
      <w:r>
        <w:rPr>
          <w:sz w:val="28"/>
          <w:szCs w:val="28"/>
        </w:rPr>
        <w:tab/>
      </w:r>
      <w:r>
        <w:rPr>
          <w:sz w:val="28"/>
          <w:szCs w:val="28"/>
        </w:rPr>
        <w:fldChar w:fldCharType="begin"/>
      </w:r>
      <w:r>
        <w:rPr>
          <w:sz w:val="28"/>
          <w:szCs w:val="28"/>
        </w:rPr>
        <w:instrText xml:space="preserve"> PAGEREF _Toc738 \h </w:instrText>
      </w:r>
      <w:r>
        <w:rPr>
          <w:sz w:val="28"/>
          <w:szCs w:val="28"/>
        </w:rPr>
        <w:fldChar w:fldCharType="separate"/>
      </w:r>
      <w:r>
        <w:rPr>
          <w:sz w:val="28"/>
          <w:szCs w:val="28"/>
        </w:rPr>
        <w:t>8</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_Toc14899 </w:instrText>
      </w:r>
      <w:r>
        <w:rPr>
          <w:rFonts w:ascii="仿宋" w:hAnsi="仿宋" w:eastAsia="仿宋"/>
          <w:kern w:val="0"/>
          <w:sz w:val="28"/>
          <w:szCs w:val="28"/>
        </w:rPr>
        <w:fldChar w:fldCharType="separate"/>
      </w:r>
      <w:r>
        <w:rPr>
          <w:rFonts w:hint="eastAsia" w:ascii="仿宋" w:hAnsi="仿宋" w:eastAsia="仿宋"/>
          <w:sz w:val="28"/>
          <w:szCs w:val="28"/>
        </w:rPr>
        <w:t>4.从温州来看，实施数字经济“一号工程”2.0新版本</w:t>
      </w:r>
      <w:r>
        <w:rPr>
          <w:sz w:val="28"/>
          <w:szCs w:val="28"/>
        </w:rPr>
        <w:tab/>
      </w:r>
      <w:r>
        <w:rPr>
          <w:sz w:val="28"/>
          <w:szCs w:val="28"/>
        </w:rPr>
        <w:fldChar w:fldCharType="begin"/>
      </w:r>
      <w:r>
        <w:rPr>
          <w:sz w:val="28"/>
          <w:szCs w:val="28"/>
        </w:rPr>
        <w:instrText xml:space="preserve"> PAGEREF _Toc14899 \h </w:instrText>
      </w:r>
      <w:r>
        <w:rPr>
          <w:sz w:val="28"/>
          <w:szCs w:val="28"/>
        </w:rPr>
        <w:fldChar w:fldCharType="separate"/>
      </w:r>
      <w:r>
        <w:rPr>
          <w:sz w:val="28"/>
          <w:szCs w:val="28"/>
        </w:rPr>
        <w:t>8</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_Toc4626 </w:instrText>
      </w:r>
      <w:r>
        <w:rPr>
          <w:rFonts w:ascii="仿宋" w:hAnsi="仿宋" w:eastAsia="仿宋"/>
          <w:kern w:val="0"/>
          <w:sz w:val="28"/>
          <w:szCs w:val="28"/>
        </w:rPr>
        <w:fldChar w:fldCharType="separate"/>
      </w:r>
      <w:r>
        <w:rPr>
          <w:rFonts w:hint="eastAsia" w:ascii="仿宋" w:hAnsi="仿宋" w:eastAsia="仿宋"/>
          <w:sz w:val="28"/>
          <w:szCs w:val="28"/>
        </w:rPr>
        <w:t>5.从乐清来看，积极抢抓产业革命和科技革命新机遇</w:t>
      </w:r>
      <w:r>
        <w:rPr>
          <w:sz w:val="28"/>
          <w:szCs w:val="28"/>
        </w:rPr>
        <w:tab/>
      </w:r>
      <w:r>
        <w:rPr>
          <w:sz w:val="28"/>
          <w:szCs w:val="28"/>
        </w:rPr>
        <w:fldChar w:fldCharType="begin"/>
      </w:r>
      <w:r>
        <w:rPr>
          <w:sz w:val="28"/>
          <w:szCs w:val="28"/>
        </w:rPr>
        <w:instrText xml:space="preserve"> PAGEREF _Toc4626 \h </w:instrText>
      </w:r>
      <w:r>
        <w:rPr>
          <w:sz w:val="28"/>
          <w:szCs w:val="28"/>
        </w:rPr>
        <w:fldChar w:fldCharType="separate"/>
      </w:r>
      <w:r>
        <w:rPr>
          <w:sz w:val="28"/>
          <w:szCs w:val="28"/>
        </w:rPr>
        <w:t>9</w:t>
      </w:r>
      <w:r>
        <w:rPr>
          <w:sz w:val="28"/>
          <w:szCs w:val="28"/>
        </w:rPr>
        <w:fldChar w:fldCharType="end"/>
      </w:r>
      <w:r>
        <w:rPr>
          <w:rFonts w:ascii="仿宋" w:hAnsi="仿宋" w:eastAsia="仿宋"/>
          <w:kern w:val="0"/>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_Toc4719 </w:instrText>
      </w:r>
      <w:r>
        <w:rPr>
          <w:rFonts w:ascii="仿宋" w:hAnsi="仿宋" w:eastAsia="仿宋"/>
          <w:kern w:val="0"/>
          <w:sz w:val="28"/>
          <w:szCs w:val="28"/>
        </w:rPr>
        <w:fldChar w:fldCharType="separate"/>
      </w:r>
      <w:r>
        <w:rPr>
          <w:rFonts w:hint="eastAsia" w:ascii="黑体" w:hAnsi="黑体" w:eastAsia="黑体" w:cs="黑体"/>
          <w:sz w:val="28"/>
          <w:szCs w:val="28"/>
        </w:rPr>
        <w:t>二、总体要求</w:t>
      </w:r>
      <w:r>
        <w:rPr>
          <w:sz w:val="28"/>
          <w:szCs w:val="28"/>
        </w:rPr>
        <w:tab/>
      </w:r>
      <w:r>
        <w:rPr>
          <w:sz w:val="28"/>
          <w:szCs w:val="28"/>
        </w:rPr>
        <w:fldChar w:fldCharType="begin"/>
      </w:r>
      <w:r>
        <w:rPr>
          <w:sz w:val="28"/>
          <w:szCs w:val="28"/>
        </w:rPr>
        <w:instrText xml:space="preserve"> PAGEREF _Toc4719 \h </w:instrText>
      </w:r>
      <w:r>
        <w:rPr>
          <w:sz w:val="28"/>
          <w:szCs w:val="28"/>
        </w:rPr>
        <w:fldChar w:fldCharType="separate"/>
      </w:r>
      <w:r>
        <w:rPr>
          <w:sz w:val="28"/>
          <w:szCs w:val="28"/>
        </w:rPr>
        <w:t>9</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_Toc13592 </w:instrText>
      </w:r>
      <w:r>
        <w:rPr>
          <w:rFonts w:ascii="仿宋" w:hAnsi="仿宋" w:eastAsia="仿宋"/>
          <w:kern w:val="0"/>
          <w:sz w:val="28"/>
          <w:szCs w:val="28"/>
        </w:rPr>
        <w:fldChar w:fldCharType="separate"/>
      </w:r>
      <w:r>
        <w:rPr>
          <w:rFonts w:hint="eastAsia" w:ascii="楷体" w:hAnsi="楷体" w:eastAsia="楷体" w:cs="楷体"/>
          <w:sz w:val="28"/>
          <w:szCs w:val="28"/>
        </w:rPr>
        <w:t>（一）指导思想</w:t>
      </w:r>
      <w:r>
        <w:rPr>
          <w:sz w:val="28"/>
          <w:szCs w:val="28"/>
        </w:rPr>
        <w:tab/>
      </w:r>
      <w:r>
        <w:rPr>
          <w:sz w:val="28"/>
          <w:szCs w:val="28"/>
        </w:rPr>
        <w:fldChar w:fldCharType="begin"/>
      </w:r>
      <w:r>
        <w:rPr>
          <w:sz w:val="28"/>
          <w:szCs w:val="28"/>
        </w:rPr>
        <w:instrText xml:space="preserve"> PAGEREF _Toc13592 \h </w:instrText>
      </w:r>
      <w:r>
        <w:rPr>
          <w:sz w:val="28"/>
          <w:szCs w:val="28"/>
        </w:rPr>
        <w:fldChar w:fldCharType="separate"/>
      </w:r>
      <w:r>
        <w:rPr>
          <w:sz w:val="28"/>
          <w:szCs w:val="28"/>
        </w:rPr>
        <w:t>10</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_Toc28370 </w:instrText>
      </w:r>
      <w:r>
        <w:rPr>
          <w:rFonts w:ascii="仿宋" w:hAnsi="仿宋" w:eastAsia="仿宋"/>
          <w:kern w:val="0"/>
          <w:sz w:val="28"/>
          <w:szCs w:val="28"/>
        </w:rPr>
        <w:fldChar w:fldCharType="separate"/>
      </w:r>
      <w:r>
        <w:rPr>
          <w:rFonts w:hint="eastAsia" w:ascii="楷体" w:hAnsi="楷体" w:eastAsia="楷体" w:cs="楷体"/>
          <w:sz w:val="28"/>
          <w:szCs w:val="28"/>
        </w:rPr>
        <w:t>（二）基本原则</w:t>
      </w:r>
      <w:r>
        <w:rPr>
          <w:sz w:val="28"/>
          <w:szCs w:val="28"/>
        </w:rPr>
        <w:tab/>
      </w:r>
      <w:r>
        <w:rPr>
          <w:sz w:val="28"/>
          <w:szCs w:val="28"/>
        </w:rPr>
        <w:fldChar w:fldCharType="begin"/>
      </w:r>
      <w:r>
        <w:rPr>
          <w:sz w:val="28"/>
          <w:szCs w:val="28"/>
        </w:rPr>
        <w:instrText xml:space="preserve"> PAGEREF _Toc28370 \h </w:instrText>
      </w:r>
      <w:r>
        <w:rPr>
          <w:sz w:val="28"/>
          <w:szCs w:val="28"/>
        </w:rPr>
        <w:fldChar w:fldCharType="separate"/>
      </w:r>
      <w:r>
        <w:rPr>
          <w:sz w:val="28"/>
          <w:szCs w:val="28"/>
        </w:rPr>
        <w:t>10</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_Toc30135 </w:instrText>
      </w:r>
      <w:r>
        <w:rPr>
          <w:rFonts w:ascii="仿宋" w:hAnsi="仿宋" w:eastAsia="仿宋"/>
          <w:kern w:val="0"/>
          <w:sz w:val="28"/>
          <w:szCs w:val="28"/>
        </w:rPr>
        <w:fldChar w:fldCharType="separate"/>
      </w:r>
      <w:r>
        <w:rPr>
          <w:rFonts w:hint="eastAsia" w:ascii="楷体" w:hAnsi="楷体" w:eastAsia="楷体" w:cs="楷体"/>
          <w:sz w:val="28"/>
          <w:szCs w:val="28"/>
        </w:rPr>
        <w:t>（三）发展定位</w:t>
      </w:r>
      <w:r>
        <w:rPr>
          <w:sz w:val="28"/>
          <w:szCs w:val="28"/>
        </w:rPr>
        <w:tab/>
      </w:r>
      <w:r>
        <w:rPr>
          <w:sz w:val="28"/>
          <w:szCs w:val="28"/>
        </w:rPr>
        <w:fldChar w:fldCharType="begin"/>
      </w:r>
      <w:r>
        <w:rPr>
          <w:sz w:val="28"/>
          <w:szCs w:val="28"/>
        </w:rPr>
        <w:instrText xml:space="preserve"> PAGEREF _Toc30135 \h </w:instrText>
      </w:r>
      <w:r>
        <w:rPr>
          <w:sz w:val="28"/>
          <w:szCs w:val="28"/>
        </w:rPr>
        <w:fldChar w:fldCharType="separate"/>
      </w:r>
      <w:r>
        <w:rPr>
          <w:sz w:val="28"/>
          <w:szCs w:val="28"/>
        </w:rPr>
        <w:t>11</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_Toc14657 </w:instrText>
      </w:r>
      <w:r>
        <w:rPr>
          <w:rFonts w:ascii="仿宋" w:hAnsi="仿宋" w:eastAsia="仿宋"/>
          <w:kern w:val="0"/>
          <w:sz w:val="28"/>
          <w:szCs w:val="28"/>
        </w:rPr>
        <w:fldChar w:fldCharType="separate"/>
      </w:r>
      <w:r>
        <w:rPr>
          <w:rFonts w:hint="eastAsia" w:ascii="楷体" w:hAnsi="楷体" w:eastAsia="楷体" w:cs="楷体"/>
          <w:sz w:val="28"/>
          <w:szCs w:val="28"/>
        </w:rPr>
        <w:t>（四）发展目标</w:t>
      </w:r>
      <w:r>
        <w:rPr>
          <w:sz w:val="28"/>
          <w:szCs w:val="28"/>
        </w:rPr>
        <w:tab/>
      </w:r>
      <w:r>
        <w:rPr>
          <w:sz w:val="28"/>
          <w:szCs w:val="28"/>
        </w:rPr>
        <w:fldChar w:fldCharType="begin"/>
      </w:r>
      <w:r>
        <w:rPr>
          <w:sz w:val="28"/>
          <w:szCs w:val="28"/>
        </w:rPr>
        <w:instrText xml:space="preserve"> PAGEREF _Toc14657 \h </w:instrText>
      </w:r>
      <w:r>
        <w:rPr>
          <w:sz w:val="28"/>
          <w:szCs w:val="28"/>
        </w:rPr>
        <w:fldChar w:fldCharType="separate"/>
      </w:r>
      <w:r>
        <w:rPr>
          <w:sz w:val="28"/>
          <w:szCs w:val="28"/>
        </w:rPr>
        <w:t>12</w:t>
      </w:r>
      <w:r>
        <w:rPr>
          <w:sz w:val="28"/>
          <w:szCs w:val="28"/>
        </w:rPr>
        <w:fldChar w:fldCharType="end"/>
      </w:r>
      <w:r>
        <w:rPr>
          <w:rFonts w:ascii="仿宋" w:hAnsi="仿宋" w:eastAsia="仿宋"/>
          <w:kern w:val="0"/>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_Toc18600 </w:instrText>
      </w:r>
      <w:r>
        <w:rPr>
          <w:rFonts w:ascii="仿宋" w:hAnsi="仿宋" w:eastAsia="仿宋"/>
          <w:kern w:val="0"/>
          <w:sz w:val="28"/>
          <w:szCs w:val="28"/>
        </w:rPr>
        <w:fldChar w:fldCharType="separate"/>
      </w:r>
      <w:r>
        <w:rPr>
          <w:rFonts w:hint="eastAsia" w:ascii="黑体" w:hAnsi="黑体" w:eastAsia="黑体" w:cs="黑体"/>
          <w:sz w:val="28"/>
          <w:szCs w:val="28"/>
        </w:rPr>
        <w:t>三、主要任务</w:t>
      </w:r>
      <w:r>
        <w:rPr>
          <w:sz w:val="28"/>
          <w:szCs w:val="28"/>
        </w:rPr>
        <w:tab/>
      </w:r>
      <w:r>
        <w:rPr>
          <w:sz w:val="28"/>
          <w:szCs w:val="28"/>
        </w:rPr>
        <w:fldChar w:fldCharType="begin"/>
      </w:r>
      <w:r>
        <w:rPr>
          <w:sz w:val="28"/>
          <w:szCs w:val="28"/>
        </w:rPr>
        <w:instrText xml:space="preserve"> PAGEREF _Toc18600 \h </w:instrText>
      </w:r>
      <w:r>
        <w:rPr>
          <w:sz w:val="28"/>
          <w:szCs w:val="28"/>
        </w:rPr>
        <w:fldChar w:fldCharType="separate"/>
      </w:r>
      <w:r>
        <w:rPr>
          <w:sz w:val="28"/>
          <w:szCs w:val="28"/>
        </w:rPr>
        <w:t>13</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_Toc9298 </w:instrText>
      </w:r>
      <w:r>
        <w:rPr>
          <w:rFonts w:ascii="仿宋" w:hAnsi="仿宋" w:eastAsia="仿宋"/>
          <w:kern w:val="0"/>
          <w:sz w:val="28"/>
          <w:szCs w:val="28"/>
        </w:rPr>
        <w:fldChar w:fldCharType="separate"/>
      </w:r>
      <w:r>
        <w:rPr>
          <w:rFonts w:hint="eastAsia" w:ascii="楷体" w:hAnsi="楷体" w:eastAsia="楷体" w:cs="楷体"/>
          <w:sz w:val="28"/>
          <w:szCs w:val="28"/>
        </w:rPr>
        <w:t>（一）数字产业化，提升壮大核心产业能级</w:t>
      </w:r>
      <w:r>
        <w:rPr>
          <w:sz w:val="28"/>
          <w:szCs w:val="28"/>
        </w:rPr>
        <w:tab/>
      </w:r>
      <w:r>
        <w:rPr>
          <w:sz w:val="28"/>
          <w:szCs w:val="28"/>
        </w:rPr>
        <w:fldChar w:fldCharType="begin"/>
      </w:r>
      <w:r>
        <w:rPr>
          <w:sz w:val="28"/>
          <w:szCs w:val="28"/>
        </w:rPr>
        <w:instrText xml:space="preserve"> PAGEREF _Toc9298 \h </w:instrText>
      </w:r>
      <w:r>
        <w:rPr>
          <w:sz w:val="28"/>
          <w:szCs w:val="28"/>
        </w:rPr>
        <w:fldChar w:fldCharType="separate"/>
      </w:r>
      <w:r>
        <w:rPr>
          <w:sz w:val="28"/>
          <w:szCs w:val="28"/>
        </w:rPr>
        <w:t>13</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_Toc27620 </w:instrText>
      </w:r>
      <w:r>
        <w:rPr>
          <w:rFonts w:ascii="仿宋" w:hAnsi="仿宋" w:eastAsia="仿宋"/>
          <w:kern w:val="0"/>
          <w:sz w:val="28"/>
          <w:szCs w:val="28"/>
        </w:rPr>
        <w:fldChar w:fldCharType="separate"/>
      </w:r>
      <w:r>
        <w:rPr>
          <w:rFonts w:hint="eastAsia" w:ascii="仿宋" w:hAnsi="仿宋" w:eastAsia="仿宋"/>
          <w:sz w:val="28"/>
          <w:szCs w:val="28"/>
        </w:rPr>
        <w:t>1.打造特色数字产业集群</w:t>
      </w:r>
      <w:r>
        <w:rPr>
          <w:sz w:val="28"/>
          <w:szCs w:val="28"/>
        </w:rPr>
        <w:tab/>
      </w:r>
      <w:r>
        <w:rPr>
          <w:sz w:val="28"/>
          <w:szCs w:val="28"/>
        </w:rPr>
        <w:fldChar w:fldCharType="begin"/>
      </w:r>
      <w:r>
        <w:rPr>
          <w:sz w:val="28"/>
          <w:szCs w:val="28"/>
        </w:rPr>
        <w:instrText xml:space="preserve"> PAGEREF _Toc27620 \h </w:instrText>
      </w:r>
      <w:r>
        <w:rPr>
          <w:sz w:val="28"/>
          <w:szCs w:val="28"/>
        </w:rPr>
        <w:fldChar w:fldCharType="separate"/>
      </w:r>
      <w:r>
        <w:rPr>
          <w:sz w:val="28"/>
          <w:szCs w:val="28"/>
        </w:rPr>
        <w:t>14</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_Toc23793 </w:instrText>
      </w:r>
      <w:r>
        <w:rPr>
          <w:rFonts w:ascii="仿宋" w:hAnsi="仿宋" w:eastAsia="仿宋"/>
          <w:kern w:val="0"/>
          <w:sz w:val="28"/>
          <w:szCs w:val="28"/>
        </w:rPr>
        <w:fldChar w:fldCharType="separate"/>
      </w:r>
      <w:r>
        <w:rPr>
          <w:rFonts w:hint="eastAsia" w:ascii="仿宋" w:hAnsi="仿宋" w:eastAsia="仿宋"/>
          <w:sz w:val="28"/>
          <w:szCs w:val="28"/>
        </w:rPr>
        <w:t>2.构建数字企业梯度体系</w:t>
      </w:r>
      <w:r>
        <w:rPr>
          <w:sz w:val="28"/>
          <w:szCs w:val="28"/>
        </w:rPr>
        <w:tab/>
      </w:r>
      <w:r>
        <w:rPr>
          <w:sz w:val="28"/>
          <w:szCs w:val="28"/>
        </w:rPr>
        <w:fldChar w:fldCharType="begin"/>
      </w:r>
      <w:r>
        <w:rPr>
          <w:sz w:val="28"/>
          <w:szCs w:val="28"/>
        </w:rPr>
        <w:instrText xml:space="preserve"> PAGEREF _Toc23793 \h </w:instrText>
      </w:r>
      <w:r>
        <w:rPr>
          <w:sz w:val="28"/>
          <w:szCs w:val="28"/>
        </w:rPr>
        <w:fldChar w:fldCharType="separate"/>
      </w:r>
      <w:r>
        <w:rPr>
          <w:sz w:val="28"/>
          <w:szCs w:val="28"/>
        </w:rPr>
        <w:t>17</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_Toc27697 </w:instrText>
      </w:r>
      <w:r>
        <w:rPr>
          <w:rFonts w:ascii="仿宋" w:hAnsi="仿宋" w:eastAsia="仿宋"/>
          <w:kern w:val="0"/>
          <w:sz w:val="28"/>
          <w:szCs w:val="28"/>
        </w:rPr>
        <w:fldChar w:fldCharType="separate"/>
      </w:r>
      <w:r>
        <w:rPr>
          <w:rFonts w:hint="eastAsia" w:ascii="仿宋" w:hAnsi="仿宋" w:eastAsia="仿宋"/>
          <w:sz w:val="28"/>
          <w:szCs w:val="28"/>
        </w:rPr>
        <w:t>3.构筑产业发展重大平台</w:t>
      </w:r>
      <w:r>
        <w:rPr>
          <w:sz w:val="28"/>
          <w:szCs w:val="28"/>
        </w:rPr>
        <w:tab/>
      </w:r>
      <w:r>
        <w:rPr>
          <w:sz w:val="28"/>
          <w:szCs w:val="28"/>
        </w:rPr>
        <w:fldChar w:fldCharType="begin"/>
      </w:r>
      <w:r>
        <w:rPr>
          <w:sz w:val="28"/>
          <w:szCs w:val="28"/>
        </w:rPr>
        <w:instrText xml:space="preserve"> PAGEREF _Toc27697 \h </w:instrText>
      </w:r>
      <w:r>
        <w:rPr>
          <w:sz w:val="28"/>
          <w:szCs w:val="28"/>
        </w:rPr>
        <w:fldChar w:fldCharType="separate"/>
      </w:r>
      <w:r>
        <w:rPr>
          <w:sz w:val="28"/>
          <w:szCs w:val="28"/>
        </w:rPr>
        <w:t>18</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_Toc10792 </w:instrText>
      </w:r>
      <w:r>
        <w:rPr>
          <w:rFonts w:ascii="仿宋" w:hAnsi="仿宋" w:eastAsia="仿宋"/>
          <w:kern w:val="0"/>
          <w:sz w:val="28"/>
          <w:szCs w:val="28"/>
        </w:rPr>
        <w:fldChar w:fldCharType="separate"/>
      </w:r>
      <w:r>
        <w:rPr>
          <w:rFonts w:hint="eastAsia" w:ascii="楷体" w:hAnsi="楷体" w:eastAsia="楷体" w:cs="楷体"/>
          <w:bCs/>
          <w:sz w:val="28"/>
          <w:szCs w:val="28"/>
        </w:rPr>
        <w:t>（二）产业数字化，推进数字赋能实体经济</w:t>
      </w:r>
      <w:r>
        <w:rPr>
          <w:sz w:val="28"/>
          <w:szCs w:val="28"/>
        </w:rPr>
        <w:tab/>
      </w:r>
      <w:r>
        <w:rPr>
          <w:sz w:val="28"/>
          <w:szCs w:val="28"/>
        </w:rPr>
        <w:fldChar w:fldCharType="begin"/>
      </w:r>
      <w:r>
        <w:rPr>
          <w:sz w:val="28"/>
          <w:szCs w:val="28"/>
        </w:rPr>
        <w:instrText xml:space="preserve"> PAGEREF _Toc10792 \h </w:instrText>
      </w:r>
      <w:r>
        <w:rPr>
          <w:sz w:val="28"/>
          <w:szCs w:val="28"/>
        </w:rPr>
        <w:fldChar w:fldCharType="separate"/>
      </w:r>
      <w:r>
        <w:rPr>
          <w:sz w:val="28"/>
          <w:szCs w:val="28"/>
        </w:rPr>
        <w:t>20</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_Toc13389 </w:instrText>
      </w:r>
      <w:r>
        <w:rPr>
          <w:rFonts w:ascii="仿宋" w:hAnsi="仿宋" w:eastAsia="仿宋"/>
          <w:kern w:val="0"/>
          <w:sz w:val="28"/>
          <w:szCs w:val="28"/>
        </w:rPr>
        <w:fldChar w:fldCharType="separate"/>
      </w:r>
      <w:r>
        <w:rPr>
          <w:rFonts w:hint="eastAsia" w:ascii="仿宋" w:hAnsi="仿宋" w:eastAsia="仿宋"/>
          <w:sz w:val="28"/>
          <w:szCs w:val="28"/>
        </w:rPr>
        <w:t>1.推进制造业数字化改造</w:t>
      </w:r>
      <w:r>
        <w:rPr>
          <w:sz w:val="28"/>
          <w:szCs w:val="28"/>
        </w:rPr>
        <w:tab/>
      </w:r>
      <w:r>
        <w:rPr>
          <w:sz w:val="28"/>
          <w:szCs w:val="28"/>
        </w:rPr>
        <w:fldChar w:fldCharType="begin"/>
      </w:r>
      <w:r>
        <w:rPr>
          <w:sz w:val="28"/>
          <w:szCs w:val="28"/>
        </w:rPr>
        <w:instrText xml:space="preserve"> PAGEREF _Toc13389 \h </w:instrText>
      </w:r>
      <w:r>
        <w:rPr>
          <w:sz w:val="28"/>
          <w:szCs w:val="28"/>
        </w:rPr>
        <w:fldChar w:fldCharType="separate"/>
      </w:r>
      <w:r>
        <w:rPr>
          <w:sz w:val="28"/>
          <w:szCs w:val="28"/>
        </w:rPr>
        <w:t>20</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_Toc29750 </w:instrText>
      </w:r>
      <w:r>
        <w:rPr>
          <w:rFonts w:ascii="仿宋" w:hAnsi="仿宋" w:eastAsia="仿宋"/>
          <w:kern w:val="0"/>
          <w:sz w:val="28"/>
          <w:szCs w:val="28"/>
        </w:rPr>
        <w:fldChar w:fldCharType="separate"/>
      </w:r>
      <w:r>
        <w:rPr>
          <w:rFonts w:hint="eastAsia" w:ascii="仿宋" w:hAnsi="仿宋" w:eastAsia="仿宋"/>
          <w:sz w:val="28"/>
          <w:szCs w:val="28"/>
        </w:rPr>
        <w:t>2.推进服务业数字化融合</w:t>
      </w:r>
      <w:r>
        <w:rPr>
          <w:sz w:val="28"/>
          <w:szCs w:val="28"/>
        </w:rPr>
        <w:tab/>
      </w:r>
      <w:r>
        <w:rPr>
          <w:sz w:val="28"/>
          <w:szCs w:val="28"/>
        </w:rPr>
        <w:fldChar w:fldCharType="begin"/>
      </w:r>
      <w:r>
        <w:rPr>
          <w:sz w:val="28"/>
          <w:szCs w:val="28"/>
        </w:rPr>
        <w:instrText xml:space="preserve"> PAGEREF _Toc29750 \h </w:instrText>
      </w:r>
      <w:r>
        <w:rPr>
          <w:sz w:val="28"/>
          <w:szCs w:val="28"/>
        </w:rPr>
        <w:fldChar w:fldCharType="separate"/>
      </w:r>
      <w:r>
        <w:rPr>
          <w:sz w:val="28"/>
          <w:szCs w:val="28"/>
        </w:rPr>
        <w:t>22</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_Toc23073 </w:instrText>
      </w:r>
      <w:r>
        <w:rPr>
          <w:rFonts w:ascii="仿宋" w:hAnsi="仿宋" w:eastAsia="仿宋"/>
          <w:kern w:val="0"/>
          <w:sz w:val="28"/>
          <w:szCs w:val="28"/>
        </w:rPr>
        <w:fldChar w:fldCharType="separate"/>
      </w:r>
      <w:r>
        <w:rPr>
          <w:rFonts w:hint="eastAsia" w:ascii="仿宋" w:hAnsi="仿宋" w:eastAsia="仿宋"/>
          <w:sz w:val="28"/>
          <w:szCs w:val="28"/>
        </w:rPr>
        <w:t>3.推进农业数字化转型</w:t>
      </w:r>
      <w:r>
        <w:rPr>
          <w:sz w:val="28"/>
          <w:szCs w:val="28"/>
        </w:rPr>
        <w:tab/>
      </w:r>
      <w:r>
        <w:rPr>
          <w:sz w:val="28"/>
          <w:szCs w:val="28"/>
        </w:rPr>
        <w:fldChar w:fldCharType="begin"/>
      </w:r>
      <w:r>
        <w:rPr>
          <w:sz w:val="28"/>
          <w:szCs w:val="28"/>
        </w:rPr>
        <w:instrText xml:space="preserve"> PAGEREF _Toc23073 \h </w:instrText>
      </w:r>
      <w:r>
        <w:rPr>
          <w:sz w:val="28"/>
          <w:szCs w:val="28"/>
        </w:rPr>
        <w:fldChar w:fldCharType="separate"/>
      </w:r>
      <w:r>
        <w:rPr>
          <w:sz w:val="28"/>
          <w:szCs w:val="28"/>
        </w:rPr>
        <w:t>24</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_Toc13661 </w:instrText>
      </w:r>
      <w:r>
        <w:rPr>
          <w:rFonts w:ascii="仿宋" w:hAnsi="仿宋" w:eastAsia="仿宋"/>
          <w:kern w:val="0"/>
          <w:sz w:val="28"/>
          <w:szCs w:val="28"/>
        </w:rPr>
        <w:fldChar w:fldCharType="separate"/>
      </w:r>
      <w:r>
        <w:rPr>
          <w:rFonts w:hint="eastAsia" w:ascii="楷体" w:hAnsi="楷体" w:eastAsia="楷体" w:cs="楷体"/>
          <w:kern w:val="2"/>
          <w:sz w:val="28"/>
          <w:szCs w:val="28"/>
        </w:rPr>
        <w:t>（三）数字化改革，构建高效现代治理体系</w:t>
      </w:r>
      <w:r>
        <w:rPr>
          <w:sz w:val="28"/>
          <w:szCs w:val="28"/>
        </w:rPr>
        <w:tab/>
      </w:r>
      <w:r>
        <w:rPr>
          <w:sz w:val="28"/>
          <w:szCs w:val="28"/>
        </w:rPr>
        <w:fldChar w:fldCharType="begin"/>
      </w:r>
      <w:r>
        <w:rPr>
          <w:sz w:val="28"/>
          <w:szCs w:val="28"/>
        </w:rPr>
        <w:instrText xml:space="preserve"> PAGEREF _Toc13661 \h </w:instrText>
      </w:r>
      <w:r>
        <w:rPr>
          <w:sz w:val="28"/>
          <w:szCs w:val="28"/>
        </w:rPr>
        <w:fldChar w:fldCharType="separate"/>
      </w:r>
      <w:r>
        <w:rPr>
          <w:sz w:val="28"/>
          <w:szCs w:val="28"/>
        </w:rPr>
        <w:t>25</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_Toc17125 </w:instrText>
      </w:r>
      <w:r>
        <w:rPr>
          <w:rFonts w:ascii="仿宋" w:hAnsi="仿宋" w:eastAsia="仿宋"/>
          <w:kern w:val="0"/>
          <w:sz w:val="28"/>
          <w:szCs w:val="28"/>
        </w:rPr>
        <w:fldChar w:fldCharType="separate"/>
      </w:r>
      <w:r>
        <w:rPr>
          <w:rFonts w:hint="eastAsia" w:ascii="仿宋" w:hAnsi="仿宋" w:eastAsia="仿宋"/>
          <w:sz w:val="28"/>
          <w:szCs w:val="28"/>
        </w:rPr>
        <w:t>1.打造整体智治现代政府</w:t>
      </w:r>
      <w:r>
        <w:rPr>
          <w:sz w:val="28"/>
          <w:szCs w:val="28"/>
        </w:rPr>
        <w:tab/>
      </w:r>
      <w:r>
        <w:rPr>
          <w:sz w:val="28"/>
          <w:szCs w:val="28"/>
        </w:rPr>
        <w:fldChar w:fldCharType="begin"/>
      </w:r>
      <w:r>
        <w:rPr>
          <w:sz w:val="28"/>
          <w:szCs w:val="28"/>
        </w:rPr>
        <w:instrText xml:space="preserve"> PAGEREF _Toc17125 \h </w:instrText>
      </w:r>
      <w:r>
        <w:rPr>
          <w:sz w:val="28"/>
          <w:szCs w:val="28"/>
        </w:rPr>
        <w:fldChar w:fldCharType="separate"/>
      </w:r>
      <w:r>
        <w:rPr>
          <w:sz w:val="28"/>
          <w:szCs w:val="28"/>
        </w:rPr>
        <w:t>25</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_Toc10758 </w:instrText>
      </w:r>
      <w:r>
        <w:rPr>
          <w:rFonts w:ascii="仿宋" w:hAnsi="仿宋" w:eastAsia="仿宋"/>
          <w:kern w:val="0"/>
          <w:sz w:val="28"/>
          <w:szCs w:val="28"/>
        </w:rPr>
        <w:fldChar w:fldCharType="separate"/>
      </w:r>
      <w:r>
        <w:rPr>
          <w:rFonts w:hint="eastAsia" w:ascii="仿宋" w:hAnsi="仿宋" w:eastAsia="仿宋"/>
          <w:sz w:val="28"/>
          <w:szCs w:val="28"/>
        </w:rPr>
        <w:t>2.构建高效基层治理体系</w:t>
      </w:r>
      <w:r>
        <w:rPr>
          <w:sz w:val="28"/>
          <w:szCs w:val="28"/>
        </w:rPr>
        <w:tab/>
      </w:r>
      <w:r>
        <w:rPr>
          <w:sz w:val="28"/>
          <w:szCs w:val="28"/>
        </w:rPr>
        <w:fldChar w:fldCharType="begin"/>
      </w:r>
      <w:r>
        <w:rPr>
          <w:sz w:val="28"/>
          <w:szCs w:val="28"/>
        </w:rPr>
        <w:instrText xml:space="preserve"> PAGEREF _Toc10758 \h </w:instrText>
      </w:r>
      <w:r>
        <w:rPr>
          <w:sz w:val="28"/>
          <w:szCs w:val="28"/>
        </w:rPr>
        <w:fldChar w:fldCharType="separate"/>
      </w:r>
      <w:r>
        <w:rPr>
          <w:sz w:val="28"/>
          <w:szCs w:val="28"/>
        </w:rPr>
        <w:t>26</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_Toc15653 </w:instrText>
      </w:r>
      <w:r>
        <w:rPr>
          <w:rFonts w:ascii="仿宋" w:hAnsi="仿宋" w:eastAsia="仿宋"/>
          <w:kern w:val="0"/>
          <w:sz w:val="28"/>
          <w:szCs w:val="28"/>
        </w:rPr>
        <w:fldChar w:fldCharType="separate"/>
      </w:r>
      <w:r>
        <w:rPr>
          <w:rFonts w:hint="eastAsia" w:ascii="仿宋" w:hAnsi="仿宋" w:eastAsia="仿宋"/>
          <w:sz w:val="28"/>
          <w:szCs w:val="28"/>
        </w:rPr>
        <w:t>3.加快数字社会优化布局</w:t>
      </w:r>
      <w:r>
        <w:rPr>
          <w:sz w:val="28"/>
          <w:szCs w:val="28"/>
        </w:rPr>
        <w:tab/>
      </w:r>
      <w:r>
        <w:rPr>
          <w:sz w:val="28"/>
          <w:szCs w:val="28"/>
        </w:rPr>
        <w:fldChar w:fldCharType="begin"/>
      </w:r>
      <w:r>
        <w:rPr>
          <w:sz w:val="28"/>
          <w:szCs w:val="28"/>
        </w:rPr>
        <w:instrText xml:space="preserve"> PAGEREF _Toc15653 \h </w:instrText>
      </w:r>
      <w:r>
        <w:rPr>
          <w:sz w:val="28"/>
          <w:szCs w:val="28"/>
        </w:rPr>
        <w:fldChar w:fldCharType="separate"/>
      </w:r>
      <w:r>
        <w:rPr>
          <w:sz w:val="28"/>
          <w:szCs w:val="28"/>
        </w:rPr>
        <w:t>27</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_Toc820 </w:instrText>
      </w:r>
      <w:r>
        <w:rPr>
          <w:rFonts w:ascii="仿宋" w:hAnsi="仿宋" w:eastAsia="仿宋"/>
          <w:kern w:val="0"/>
          <w:sz w:val="28"/>
          <w:szCs w:val="28"/>
        </w:rPr>
        <w:fldChar w:fldCharType="separate"/>
      </w:r>
      <w:r>
        <w:rPr>
          <w:rFonts w:hint="eastAsia" w:ascii="楷体" w:hAnsi="楷体" w:eastAsia="楷体" w:cs="楷体"/>
          <w:kern w:val="2"/>
          <w:sz w:val="28"/>
          <w:szCs w:val="28"/>
        </w:rPr>
        <w:t>（四）数据价值化，实施数据资源开放共享</w:t>
      </w:r>
      <w:r>
        <w:rPr>
          <w:sz w:val="28"/>
          <w:szCs w:val="28"/>
        </w:rPr>
        <w:tab/>
      </w:r>
      <w:r>
        <w:rPr>
          <w:sz w:val="28"/>
          <w:szCs w:val="28"/>
        </w:rPr>
        <w:fldChar w:fldCharType="begin"/>
      </w:r>
      <w:r>
        <w:rPr>
          <w:sz w:val="28"/>
          <w:szCs w:val="28"/>
        </w:rPr>
        <w:instrText xml:space="preserve"> PAGEREF _Toc820 \h </w:instrText>
      </w:r>
      <w:r>
        <w:rPr>
          <w:sz w:val="28"/>
          <w:szCs w:val="28"/>
        </w:rPr>
        <w:fldChar w:fldCharType="separate"/>
      </w:r>
      <w:r>
        <w:rPr>
          <w:sz w:val="28"/>
          <w:szCs w:val="28"/>
        </w:rPr>
        <w:t>30</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_Toc26613 </w:instrText>
      </w:r>
      <w:r>
        <w:rPr>
          <w:rFonts w:ascii="仿宋" w:hAnsi="仿宋" w:eastAsia="仿宋"/>
          <w:kern w:val="0"/>
          <w:sz w:val="28"/>
          <w:szCs w:val="28"/>
        </w:rPr>
        <w:fldChar w:fldCharType="separate"/>
      </w:r>
      <w:r>
        <w:rPr>
          <w:rFonts w:hint="eastAsia" w:ascii="仿宋" w:hAnsi="仿宋" w:eastAsia="仿宋"/>
          <w:sz w:val="28"/>
          <w:szCs w:val="28"/>
        </w:rPr>
        <w:t>1.推进一体化智能化公共数据平台建设</w:t>
      </w:r>
      <w:r>
        <w:rPr>
          <w:sz w:val="28"/>
          <w:szCs w:val="28"/>
        </w:rPr>
        <w:tab/>
      </w:r>
      <w:r>
        <w:rPr>
          <w:sz w:val="28"/>
          <w:szCs w:val="28"/>
        </w:rPr>
        <w:fldChar w:fldCharType="begin"/>
      </w:r>
      <w:r>
        <w:rPr>
          <w:sz w:val="28"/>
          <w:szCs w:val="28"/>
        </w:rPr>
        <w:instrText xml:space="preserve"> PAGEREF _Toc26613 \h </w:instrText>
      </w:r>
      <w:r>
        <w:rPr>
          <w:sz w:val="28"/>
          <w:szCs w:val="28"/>
        </w:rPr>
        <w:fldChar w:fldCharType="separate"/>
      </w:r>
      <w:r>
        <w:rPr>
          <w:sz w:val="28"/>
          <w:szCs w:val="28"/>
        </w:rPr>
        <w:t>30</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_Toc13657 </w:instrText>
      </w:r>
      <w:r>
        <w:rPr>
          <w:rFonts w:ascii="仿宋" w:hAnsi="仿宋" w:eastAsia="仿宋"/>
          <w:kern w:val="0"/>
          <w:sz w:val="28"/>
          <w:szCs w:val="28"/>
        </w:rPr>
        <w:fldChar w:fldCharType="separate"/>
      </w:r>
      <w:r>
        <w:rPr>
          <w:rFonts w:hint="eastAsia" w:ascii="仿宋" w:hAnsi="仿宋" w:eastAsia="仿宋"/>
          <w:sz w:val="28"/>
          <w:szCs w:val="28"/>
        </w:rPr>
        <w:t>2.推进数据整合和开放共享</w:t>
      </w:r>
      <w:r>
        <w:rPr>
          <w:sz w:val="28"/>
          <w:szCs w:val="28"/>
        </w:rPr>
        <w:tab/>
      </w:r>
      <w:r>
        <w:rPr>
          <w:sz w:val="28"/>
          <w:szCs w:val="28"/>
        </w:rPr>
        <w:fldChar w:fldCharType="begin"/>
      </w:r>
      <w:r>
        <w:rPr>
          <w:sz w:val="28"/>
          <w:szCs w:val="28"/>
        </w:rPr>
        <w:instrText xml:space="preserve"> PAGEREF _Toc13657 \h </w:instrText>
      </w:r>
      <w:r>
        <w:rPr>
          <w:sz w:val="28"/>
          <w:szCs w:val="28"/>
        </w:rPr>
        <w:fldChar w:fldCharType="separate"/>
      </w:r>
      <w:r>
        <w:rPr>
          <w:sz w:val="28"/>
          <w:szCs w:val="28"/>
        </w:rPr>
        <w:t>31</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_Toc14564 </w:instrText>
      </w:r>
      <w:r>
        <w:rPr>
          <w:rFonts w:ascii="仿宋" w:hAnsi="仿宋" w:eastAsia="仿宋"/>
          <w:kern w:val="0"/>
          <w:sz w:val="28"/>
          <w:szCs w:val="28"/>
        </w:rPr>
        <w:fldChar w:fldCharType="separate"/>
      </w:r>
      <w:r>
        <w:rPr>
          <w:rFonts w:hint="eastAsia" w:ascii="仿宋" w:hAnsi="仿宋" w:eastAsia="仿宋"/>
          <w:sz w:val="28"/>
          <w:szCs w:val="28"/>
        </w:rPr>
        <w:t>3.强化网络安全和数据防护</w:t>
      </w:r>
      <w:r>
        <w:rPr>
          <w:sz w:val="28"/>
          <w:szCs w:val="28"/>
        </w:rPr>
        <w:tab/>
      </w:r>
      <w:r>
        <w:rPr>
          <w:sz w:val="28"/>
          <w:szCs w:val="28"/>
        </w:rPr>
        <w:fldChar w:fldCharType="begin"/>
      </w:r>
      <w:r>
        <w:rPr>
          <w:sz w:val="28"/>
          <w:szCs w:val="28"/>
        </w:rPr>
        <w:instrText xml:space="preserve"> PAGEREF _Toc14564 \h </w:instrText>
      </w:r>
      <w:r>
        <w:rPr>
          <w:sz w:val="28"/>
          <w:szCs w:val="28"/>
        </w:rPr>
        <w:fldChar w:fldCharType="separate"/>
      </w:r>
      <w:r>
        <w:rPr>
          <w:sz w:val="28"/>
          <w:szCs w:val="28"/>
        </w:rPr>
        <w:t>32</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_Toc3853 </w:instrText>
      </w:r>
      <w:r>
        <w:rPr>
          <w:rFonts w:ascii="仿宋" w:hAnsi="仿宋" w:eastAsia="仿宋"/>
          <w:kern w:val="0"/>
          <w:sz w:val="28"/>
          <w:szCs w:val="28"/>
        </w:rPr>
        <w:fldChar w:fldCharType="separate"/>
      </w:r>
      <w:r>
        <w:rPr>
          <w:rFonts w:hint="eastAsia" w:ascii="楷体" w:hAnsi="楷体" w:eastAsia="楷体" w:cs="楷体"/>
          <w:kern w:val="2"/>
          <w:sz w:val="28"/>
          <w:szCs w:val="28"/>
        </w:rPr>
        <w:t>（五）数字新基建，夯实网络信息基础</w:t>
      </w:r>
      <w:r>
        <w:rPr>
          <w:sz w:val="28"/>
          <w:szCs w:val="28"/>
        </w:rPr>
        <w:tab/>
      </w:r>
      <w:r>
        <w:rPr>
          <w:sz w:val="28"/>
          <w:szCs w:val="28"/>
        </w:rPr>
        <w:fldChar w:fldCharType="begin"/>
      </w:r>
      <w:r>
        <w:rPr>
          <w:sz w:val="28"/>
          <w:szCs w:val="28"/>
        </w:rPr>
        <w:instrText xml:space="preserve"> PAGEREF _Toc3853 \h </w:instrText>
      </w:r>
      <w:r>
        <w:rPr>
          <w:sz w:val="28"/>
          <w:szCs w:val="28"/>
        </w:rPr>
        <w:fldChar w:fldCharType="separate"/>
      </w:r>
      <w:r>
        <w:rPr>
          <w:sz w:val="28"/>
          <w:szCs w:val="28"/>
        </w:rPr>
        <w:t>33</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_Toc15979 </w:instrText>
      </w:r>
      <w:r>
        <w:rPr>
          <w:rFonts w:ascii="仿宋" w:hAnsi="仿宋" w:eastAsia="仿宋"/>
          <w:kern w:val="0"/>
          <w:sz w:val="28"/>
          <w:szCs w:val="28"/>
        </w:rPr>
        <w:fldChar w:fldCharType="separate"/>
      </w:r>
      <w:r>
        <w:rPr>
          <w:rFonts w:hint="eastAsia" w:ascii="仿宋" w:hAnsi="仿宋" w:eastAsia="仿宋"/>
          <w:sz w:val="28"/>
          <w:szCs w:val="28"/>
        </w:rPr>
        <w:t>1.全面升级网络基础设施</w:t>
      </w:r>
      <w:r>
        <w:rPr>
          <w:sz w:val="28"/>
          <w:szCs w:val="28"/>
        </w:rPr>
        <w:tab/>
      </w:r>
      <w:r>
        <w:rPr>
          <w:sz w:val="28"/>
          <w:szCs w:val="28"/>
        </w:rPr>
        <w:fldChar w:fldCharType="begin"/>
      </w:r>
      <w:r>
        <w:rPr>
          <w:sz w:val="28"/>
          <w:szCs w:val="28"/>
        </w:rPr>
        <w:instrText xml:space="preserve"> PAGEREF _Toc15979 \h </w:instrText>
      </w:r>
      <w:r>
        <w:rPr>
          <w:sz w:val="28"/>
          <w:szCs w:val="28"/>
        </w:rPr>
        <w:fldChar w:fldCharType="separate"/>
      </w:r>
      <w:r>
        <w:rPr>
          <w:sz w:val="28"/>
          <w:szCs w:val="28"/>
        </w:rPr>
        <w:t>33</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_Toc24113 </w:instrText>
      </w:r>
      <w:r>
        <w:rPr>
          <w:rFonts w:ascii="仿宋" w:hAnsi="仿宋" w:eastAsia="仿宋"/>
          <w:kern w:val="0"/>
          <w:sz w:val="28"/>
          <w:szCs w:val="28"/>
        </w:rPr>
        <w:fldChar w:fldCharType="separate"/>
      </w:r>
      <w:r>
        <w:rPr>
          <w:rFonts w:hint="eastAsia" w:ascii="仿宋" w:hAnsi="仿宋" w:eastAsia="仿宋"/>
          <w:sz w:val="28"/>
          <w:szCs w:val="28"/>
        </w:rPr>
        <w:t>2.部署领先的算力及新技术基础设施</w:t>
      </w:r>
      <w:r>
        <w:rPr>
          <w:sz w:val="28"/>
          <w:szCs w:val="28"/>
        </w:rPr>
        <w:tab/>
      </w:r>
      <w:r>
        <w:rPr>
          <w:sz w:val="28"/>
          <w:szCs w:val="28"/>
        </w:rPr>
        <w:fldChar w:fldCharType="begin"/>
      </w:r>
      <w:r>
        <w:rPr>
          <w:sz w:val="28"/>
          <w:szCs w:val="28"/>
        </w:rPr>
        <w:instrText xml:space="preserve"> PAGEREF _Toc24113 \h </w:instrText>
      </w:r>
      <w:r>
        <w:rPr>
          <w:sz w:val="28"/>
          <w:szCs w:val="28"/>
        </w:rPr>
        <w:fldChar w:fldCharType="separate"/>
      </w:r>
      <w:r>
        <w:rPr>
          <w:sz w:val="28"/>
          <w:szCs w:val="28"/>
        </w:rPr>
        <w:t>34</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_Toc27372 </w:instrText>
      </w:r>
      <w:r>
        <w:rPr>
          <w:rFonts w:ascii="仿宋" w:hAnsi="仿宋" w:eastAsia="仿宋"/>
          <w:kern w:val="0"/>
          <w:sz w:val="28"/>
          <w:szCs w:val="28"/>
        </w:rPr>
        <w:fldChar w:fldCharType="separate"/>
      </w:r>
      <w:r>
        <w:rPr>
          <w:rFonts w:hint="eastAsia" w:ascii="仿宋" w:hAnsi="仿宋" w:eastAsia="仿宋"/>
          <w:sz w:val="28"/>
          <w:szCs w:val="28"/>
        </w:rPr>
        <w:t>3.构建工业互联网网络体系</w:t>
      </w:r>
      <w:r>
        <w:rPr>
          <w:sz w:val="28"/>
          <w:szCs w:val="28"/>
        </w:rPr>
        <w:tab/>
      </w:r>
      <w:r>
        <w:rPr>
          <w:sz w:val="28"/>
          <w:szCs w:val="28"/>
        </w:rPr>
        <w:fldChar w:fldCharType="begin"/>
      </w:r>
      <w:r>
        <w:rPr>
          <w:sz w:val="28"/>
          <w:szCs w:val="28"/>
        </w:rPr>
        <w:instrText xml:space="preserve"> PAGEREF _Toc27372 \h </w:instrText>
      </w:r>
      <w:r>
        <w:rPr>
          <w:sz w:val="28"/>
          <w:szCs w:val="28"/>
        </w:rPr>
        <w:fldChar w:fldCharType="separate"/>
      </w:r>
      <w:r>
        <w:rPr>
          <w:sz w:val="28"/>
          <w:szCs w:val="28"/>
        </w:rPr>
        <w:t>34</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_Toc24457 </w:instrText>
      </w:r>
      <w:r>
        <w:rPr>
          <w:rFonts w:ascii="仿宋" w:hAnsi="仿宋" w:eastAsia="仿宋"/>
          <w:kern w:val="0"/>
          <w:sz w:val="28"/>
          <w:szCs w:val="28"/>
        </w:rPr>
        <w:fldChar w:fldCharType="separate"/>
      </w:r>
      <w:r>
        <w:rPr>
          <w:rFonts w:hint="eastAsia" w:ascii="仿宋" w:hAnsi="仿宋" w:eastAsia="仿宋"/>
          <w:sz w:val="28"/>
          <w:szCs w:val="28"/>
        </w:rPr>
        <w:t>4.建设融合型智能化基础设施</w:t>
      </w:r>
      <w:r>
        <w:rPr>
          <w:sz w:val="28"/>
          <w:szCs w:val="28"/>
        </w:rPr>
        <w:tab/>
      </w:r>
      <w:r>
        <w:rPr>
          <w:sz w:val="28"/>
          <w:szCs w:val="28"/>
        </w:rPr>
        <w:fldChar w:fldCharType="begin"/>
      </w:r>
      <w:r>
        <w:rPr>
          <w:sz w:val="28"/>
          <w:szCs w:val="28"/>
        </w:rPr>
        <w:instrText xml:space="preserve"> PAGEREF _Toc24457 \h </w:instrText>
      </w:r>
      <w:r>
        <w:rPr>
          <w:sz w:val="28"/>
          <w:szCs w:val="28"/>
        </w:rPr>
        <w:fldChar w:fldCharType="separate"/>
      </w:r>
      <w:r>
        <w:rPr>
          <w:sz w:val="28"/>
          <w:szCs w:val="28"/>
        </w:rPr>
        <w:t>35</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_Toc21621 </w:instrText>
      </w:r>
      <w:r>
        <w:rPr>
          <w:rFonts w:ascii="仿宋" w:hAnsi="仿宋" w:eastAsia="仿宋"/>
          <w:kern w:val="0"/>
          <w:sz w:val="28"/>
          <w:szCs w:val="28"/>
        </w:rPr>
        <w:fldChar w:fldCharType="separate"/>
      </w:r>
      <w:r>
        <w:rPr>
          <w:rFonts w:hint="eastAsia" w:ascii="楷体" w:hAnsi="楷体" w:eastAsia="楷体" w:cs="楷体"/>
          <w:kern w:val="2"/>
          <w:sz w:val="28"/>
          <w:szCs w:val="28"/>
        </w:rPr>
        <w:t>（六）要素高级化，提升数字科技支撑水平</w:t>
      </w:r>
      <w:r>
        <w:rPr>
          <w:sz w:val="28"/>
          <w:szCs w:val="28"/>
        </w:rPr>
        <w:tab/>
      </w:r>
      <w:r>
        <w:rPr>
          <w:sz w:val="28"/>
          <w:szCs w:val="28"/>
        </w:rPr>
        <w:fldChar w:fldCharType="begin"/>
      </w:r>
      <w:r>
        <w:rPr>
          <w:sz w:val="28"/>
          <w:szCs w:val="28"/>
        </w:rPr>
        <w:instrText xml:space="preserve"> PAGEREF _Toc21621 \h </w:instrText>
      </w:r>
      <w:r>
        <w:rPr>
          <w:sz w:val="28"/>
          <w:szCs w:val="28"/>
        </w:rPr>
        <w:fldChar w:fldCharType="separate"/>
      </w:r>
      <w:r>
        <w:rPr>
          <w:sz w:val="28"/>
          <w:szCs w:val="28"/>
        </w:rPr>
        <w:t>36</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_Toc21463 </w:instrText>
      </w:r>
      <w:r>
        <w:rPr>
          <w:rFonts w:ascii="仿宋" w:hAnsi="仿宋" w:eastAsia="仿宋"/>
          <w:kern w:val="0"/>
          <w:sz w:val="28"/>
          <w:szCs w:val="28"/>
        </w:rPr>
        <w:fldChar w:fldCharType="separate"/>
      </w: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完善数字科技创新水平</w:t>
      </w:r>
      <w:r>
        <w:rPr>
          <w:sz w:val="28"/>
          <w:szCs w:val="28"/>
        </w:rPr>
        <w:tab/>
      </w:r>
      <w:r>
        <w:rPr>
          <w:sz w:val="28"/>
          <w:szCs w:val="28"/>
        </w:rPr>
        <w:fldChar w:fldCharType="begin"/>
      </w:r>
      <w:r>
        <w:rPr>
          <w:sz w:val="28"/>
          <w:szCs w:val="28"/>
        </w:rPr>
        <w:instrText xml:space="preserve"> PAGEREF _Toc21463 \h </w:instrText>
      </w:r>
      <w:r>
        <w:rPr>
          <w:sz w:val="28"/>
          <w:szCs w:val="28"/>
        </w:rPr>
        <w:fldChar w:fldCharType="separate"/>
      </w:r>
      <w:r>
        <w:rPr>
          <w:sz w:val="28"/>
          <w:szCs w:val="28"/>
        </w:rPr>
        <w:t>36</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_Toc30700 </w:instrText>
      </w:r>
      <w:r>
        <w:rPr>
          <w:rFonts w:ascii="仿宋" w:hAnsi="仿宋" w:eastAsia="仿宋"/>
          <w:kern w:val="0"/>
          <w:sz w:val="28"/>
          <w:szCs w:val="28"/>
        </w:rPr>
        <w:fldChar w:fldCharType="separate"/>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健全成果转化服务体系</w:t>
      </w:r>
      <w:r>
        <w:rPr>
          <w:sz w:val="28"/>
          <w:szCs w:val="28"/>
        </w:rPr>
        <w:tab/>
      </w:r>
      <w:r>
        <w:rPr>
          <w:sz w:val="28"/>
          <w:szCs w:val="28"/>
        </w:rPr>
        <w:fldChar w:fldCharType="begin"/>
      </w:r>
      <w:r>
        <w:rPr>
          <w:sz w:val="28"/>
          <w:szCs w:val="28"/>
        </w:rPr>
        <w:instrText xml:space="preserve"> PAGEREF _Toc30700 \h </w:instrText>
      </w:r>
      <w:r>
        <w:rPr>
          <w:sz w:val="28"/>
          <w:szCs w:val="28"/>
        </w:rPr>
        <w:fldChar w:fldCharType="separate"/>
      </w:r>
      <w:r>
        <w:rPr>
          <w:sz w:val="28"/>
          <w:szCs w:val="28"/>
        </w:rPr>
        <w:t>37</w:t>
      </w:r>
      <w:r>
        <w:rPr>
          <w:sz w:val="28"/>
          <w:szCs w:val="28"/>
        </w:rPr>
        <w:fldChar w:fldCharType="end"/>
      </w:r>
      <w:r>
        <w:rPr>
          <w:rFonts w:ascii="仿宋" w:hAnsi="仿宋" w:eastAsia="仿宋"/>
          <w:kern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_Toc12015 </w:instrText>
      </w:r>
      <w:r>
        <w:rPr>
          <w:rFonts w:ascii="仿宋" w:hAnsi="仿宋" w:eastAsia="仿宋"/>
          <w:kern w:val="0"/>
          <w:sz w:val="28"/>
          <w:szCs w:val="28"/>
        </w:rPr>
        <w:fldChar w:fldCharType="separate"/>
      </w:r>
      <w:r>
        <w:rPr>
          <w:rFonts w:hint="eastAsia" w:ascii="仿宋" w:hAnsi="仿宋" w:eastAsia="仿宋"/>
          <w:sz w:val="28"/>
          <w:szCs w:val="28"/>
        </w:rPr>
        <w:t>3.加强数字人才队伍建设</w:t>
      </w:r>
      <w:r>
        <w:rPr>
          <w:sz w:val="28"/>
          <w:szCs w:val="28"/>
        </w:rPr>
        <w:tab/>
      </w:r>
      <w:r>
        <w:rPr>
          <w:sz w:val="28"/>
          <w:szCs w:val="28"/>
        </w:rPr>
        <w:fldChar w:fldCharType="begin"/>
      </w:r>
      <w:r>
        <w:rPr>
          <w:sz w:val="28"/>
          <w:szCs w:val="28"/>
        </w:rPr>
        <w:instrText xml:space="preserve"> PAGEREF _Toc12015 \h </w:instrText>
      </w:r>
      <w:r>
        <w:rPr>
          <w:sz w:val="28"/>
          <w:szCs w:val="28"/>
        </w:rPr>
        <w:fldChar w:fldCharType="separate"/>
      </w:r>
      <w:r>
        <w:rPr>
          <w:sz w:val="28"/>
          <w:szCs w:val="28"/>
        </w:rPr>
        <w:t>38</w:t>
      </w:r>
      <w:r>
        <w:rPr>
          <w:sz w:val="28"/>
          <w:szCs w:val="28"/>
        </w:rPr>
        <w:fldChar w:fldCharType="end"/>
      </w:r>
      <w:r>
        <w:rPr>
          <w:rFonts w:ascii="仿宋" w:hAnsi="仿宋" w:eastAsia="仿宋"/>
          <w:kern w:val="0"/>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_Toc16975 </w:instrText>
      </w:r>
      <w:r>
        <w:rPr>
          <w:rFonts w:ascii="仿宋" w:hAnsi="仿宋" w:eastAsia="仿宋"/>
          <w:kern w:val="0"/>
          <w:sz w:val="28"/>
          <w:szCs w:val="28"/>
        </w:rPr>
        <w:fldChar w:fldCharType="separate"/>
      </w:r>
      <w:r>
        <w:rPr>
          <w:rFonts w:hint="eastAsia" w:ascii="黑体" w:hAnsi="黑体" w:eastAsia="黑体" w:cs="黑体"/>
          <w:sz w:val="28"/>
          <w:szCs w:val="28"/>
        </w:rPr>
        <w:t>四、保障举措</w:t>
      </w:r>
      <w:r>
        <w:rPr>
          <w:sz w:val="28"/>
          <w:szCs w:val="28"/>
        </w:rPr>
        <w:tab/>
      </w:r>
      <w:r>
        <w:rPr>
          <w:sz w:val="28"/>
          <w:szCs w:val="28"/>
        </w:rPr>
        <w:fldChar w:fldCharType="begin"/>
      </w:r>
      <w:r>
        <w:rPr>
          <w:sz w:val="28"/>
          <w:szCs w:val="28"/>
        </w:rPr>
        <w:instrText xml:space="preserve"> PAGEREF _Toc16975 \h </w:instrText>
      </w:r>
      <w:r>
        <w:rPr>
          <w:sz w:val="28"/>
          <w:szCs w:val="28"/>
        </w:rPr>
        <w:fldChar w:fldCharType="separate"/>
      </w:r>
      <w:r>
        <w:rPr>
          <w:sz w:val="28"/>
          <w:szCs w:val="28"/>
        </w:rPr>
        <w:t>40</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_Toc14439 </w:instrText>
      </w:r>
      <w:r>
        <w:rPr>
          <w:rFonts w:ascii="仿宋" w:hAnsi="仿宋" w:eastAsia="仿宋"/>
          <w:kern w:val="0"/>
          <w:sz w:val="28"/>
          <w:szCs w:val="28"/>
        </w:rPr>
        <w:fldChar w:fldCharType="separate"/>
      </w:r>
      <w:r>
        <w:rPr>
          <w:rFonts w:hint="eastAsia" w:ascii="楷体" w:hAnsi="楷体" w:eastAsia="楷体" w:cs="楷体"/>
          <w:sz w:val="28"/>
          <w:szCs w:val="28"/>
        </w:rPr>
        <w:t>（一）加强统筹协调</w:t>
      </w:r>
      <w:r>
        <w:rPr>
          <w:sz w:val="28"/>
          <w:szCs w:val="28"/>
        </w:rPr>
        <w:tab/>
      </w:r>
      <w:r>
        <w:rPr>
          <w:sz w:val="28"/>
          <w:szCs w:val="28"/>
        </w:rPr>
        <w:fldChar w:fldCharType="begin"/>
      </w:r>
      <w:r>
        <w:rPr>
          <w:sz w:val="28"/>
          <w:szCs w:val="28"/>
        </w:rPr>
        <w:instrText xml:space="preserve"> PAGEREF _Toc14439 \h </w:instrText>
      </w:r>
      <w:r>
        <w:rPr>
          <w:sz w:val="28"/>
          <w:szCs w:val="28"/>
        </w:rPr>
        <w:fldChar w:fldCharType="separate"/>
      </w:r>
      <w:r>
        <w:rPr>
          <w:sz w:val="28"/>
          <w:szCs w:val="28"/>
        </w:rPr>
        <w:t>40</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_Toc31013 </w:instrText>
      </w:r>
      <w:r>
        <w:rPr>
          <w:rFonts w:ascii="仿宋" w:hAnsi="仿宋" w:eastAsia="仿宋"/>
          <w:kern w:val="0"/>
          <w:sz w:val="28"/>
          <w:szCs w:val="28"/>
        </w:rPr>
        <w:fldChar w:fldCharType="separate"/>
      </w:r>
      <w:r>
        <w:rPr>
          <w:rFonts w:hint="eastAsia" w:ascii="楷体" w:hAnsi="楷体" w:eastAsia="楷体" w:cs="楷体"/>
          <w:sz w:val="28"/>
          <w:szCs w:val="28"/>
        </w:rPr>
        <w:t>（二）加大政策扶持</w:t>
      </w:r>
      <w:r>
        <w:rPr>
          <w:sz w:val="28"/>
          <w:szCs w:val="28"/>
        </w:rPr>
        <w:tab/>
      </w:r>
      <w:r>
        <w:rPr>
          <w:sz w:val="28"/>
          <w:szCs w:val="28"/>
        </w:rPr>
        <w:fldChar w:fldCharType="begin"/>
      </w:r>
      <w:r>
        <w:rPr>
          <w:sz w:val="28"/>
          <w:szCs w:val="28"/>
        </w:rPr>
        <w:instrText xml:space="preserve"> PAGEREF _Toc31013 \h </w:instrText>
      </w:r>
      <w:r>
        <w:rPr>
          <w:sz w:val="28"/>
          <w:szCs w:val="28"/>
        </w:rPr>
        <w:fldChar w:fldCharType="separate"/>
      </w:r>
      <w:r>
        <w:rPr>
          <w:sz w:val="28"/>
          <w:szCs w:val="28"/>
        </w:rPr>
        <w:t>40</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_Toc29390 </w:instrText>
      </w:r>
      <w:r>
        <w:rPr>
          <w:rFonts w:ascii="仿宋" w:hAnsi="仿宋" w:eastAsia="仿宋"/>
          <w:kern w:val="0"/>
          <w:sz w:val="28"/>
          <w:szCs w:val="28"/>
        </w:rPr>
        <w:fldChar w:fldCharType="separate"/>
      </w:r>
      <w:r>
        <w:rPr>
          <w:rFonts w:hint="eastAsia" w:ascii="楷体" w:hAnsi="楷体" w:eastAsia="楷体" w:cs="楷体"/>
          <w:sz w:val="28"/>
          <w:szCs w:val="28"/>
        </w:rPr>
        <w:t>（三）完善评估考核</w:t>
      </w:r>
      <w:r>
        <w:rPr>
          <w:sz w:val="28"/>
          <w:szCs w:val="28"/>
        </w:rPr>
        <w:tab/>
      </w:r>
      <w:r>
        <w:rPr>
          <w:sz w:val="28"/>
          <w:szCs w:val="28"/>
        </w:rPr>
        <w:fldChar w:fldCharType="begin"/>
      </w:r>
      <w:r>
        <w:rPr>
          <w:sz w:val="28"/>
          <w:szCs w:val="28"/>
        </w:rPr>
        <w:instrText xml:space="preserve"> PAGEREF _Toc29390 \h </w:instrText>
      </w:r>
      <w:r>
        <w:rPr>
          <w:sz w:val="28"/>
          <w:szCs w:val="28"/>
        </w:rPr>
        <w:fldChar w:fldCharType="separate"/>
      </w:r>
      <w:r>
        <w:rPr>
          <w:sz w:val="28"/>
          <w:szCs w:val="28"/>
        </w:rPr>
        <w:t>41</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_Toc9050 </w:instrText>
      </w:r>
      <w:r>
        <w:rPr>
          <w:rFonts w:ascii="仿宋" w:hAnsi="仿宋" w:eastAsia="仿宋"/>
          <w:kern w:val="0"/>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四</w:t>
      </w:r>
      <w:r>
        <w:rPr>
          <w:rFonts w:hint="eastAsia" w:ascii="楷体" w:hAnsi="楷体" w:eastAsia="楷体" w:cs="楷体"/>
          <w:sz w:val="28"/>
          <w:szCs w:val="28"/>
        </w:rPr>
        <w:t>）深化开放合作</w:t>
      </w:r>
      <w:r>
        <w:rPr>
          <w:sz w:val="28"/>
          <w:szCs w:val="28"/>
        </w:rPr>
        <w:tab/>
      </w:r>
      <w:r>
        <w:rPr>
          <w:sz w:val="28"/>
          <w:szCs w:val="28"/>
        </w:rPr>
        <w:fldChar w:fldCharType="begin"/>
      </w:r>
      <w:r>
        <w:rPr>
          <w:sz w:val="28"/>
          <w:szCs w:val="28"/>
        </w:rPr>
        <w:instrText xml:space="preserve"> PAGEREF _Toc9050 \h </w:instrText>
      </w:r>
      <w:r>
        <w:rPr>
          <w:sz w:val="28"/>
          <w:szCs w:val="28"/>
        </w:rPr>
        <w:fldChar w:fldCharType="separate"/>
      </w:r>
      <w:r>
        <w:rPr>
          <w:sz w:val="28"/>
          <w:szCs w:val="28"/>
        </w:rPr>
        <w:t>42</w:t>
      </w:r>
      <w:r>
        <w:rPr>
          <w:sz w:val="28"/>
          <w:szCs w:val="28"/>
        </w:rPr>
        <w:fldChar w:fldCharType="end"/>
      </w:r>
      <w:r>
        <w:rPr>
          <w:rFonts w:ascii="仿宋" w:hAnsi="仿宋" w:eastAsia="仿宋"/>
          <w:kern w:val="0"/>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HYPERLINK \l _Toc1422 </w:instrText>
      </w:r>
      <w:r>
        <w:rPr>
          <w:rFonts w:ascii="仿宋" w:hAnsi="仿宋" w:eastAsia="仿宋"/>
          <w:kern w:val="0"/>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五</w:t>
      </w:r>
      <w:r>
        <w:rPr>
          <w:rFonts w:hint="eastAsia" w:ascii="楷体" w:hAnsi="楷体" w:eastAsia="楷体" w:cs="楷体"/>
          <w:sz w:val="28"/>
          <w:szCs w:val="28"/>
        </w:rPr>
        <w:t>）营造良好氛围</w:t>
      </w:r>
      <w:r>
        <w:rPr>
          <w:sz w:val="28"/>
          <w:szCs w:val="28"/>
        </w:rPr>
        <w:tab/>
      </w:r>
      <w:r>
        <w:rPr>
          <w:sz w:val="28"/>
          <w:szCs w:val="28"/>
        </w:rPr>
        <w:fldChar w:fldCharType="begin"/>
      </w:r>
      <w:r>
        <w:rPr>
          <w:sz w:val="28"/>
          <w:szCs w:val="28"/>
        </w:rPr>
        <w:instrText xml:space="preserve"> PAGEREF _Toc1422 \h </w:instrText>
      </w:r>
      <w:r>
        <w:rPr>
          <w:sz w:val="28"/>
          <w:szCs w:val="28"/>
        </w:rPr>
        <w:fldChar w:fldCharType="separate"/>
      </w:r>
      <w:r>
        <w:rPr>
          <w:sz w:val="28"/>
          <w:szCs w:val="28"/>
        </w:rPr>
        <w:t>42</w:t>
      </w:r>
      <w:r>
        <w:rPr>
          <w:sz w:val="28"/>
          <w:szCs w:val="28"/>
        </w:rPr>
        <w:fldChar w:fldCharType="end"/>
      </w:r>
      <w:r>
        <w:rPr>
          <w:rFonts w:ascii="仿宋" w:hAnsi="仿宋" w:eastAsia="仿宋"/>
          <w:kern w:val="0"/>
          <w:sz w:val="28"/>
          <w:szCs w:val="28"/>
        </w:rPr>
        <w:fldChar w:fldCharType="end"/>
      </w:r>
    </w:p>
    <w:p>
      <w:pPr>
        <w:pStyle w:val="2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rPr>
      </w:pPr>
      <w:r>
        <w:rPr>
          <w:rFonts w:ascii="仿宋" w:hAnsi="仿宋" w:eastAsia="仿宋"/>
          <w:kern w:val="0"/>
          <w:sz w:val="28"/>
          <w:szCs w:val="28"/>
        </w:rPr>
        <w:fldChar w:fldCharType="end"/>
      </w:r>
    </w:p>
    <w:p>
      <w:pPr>
        <w:pStyle w:val="29"/>
        <w:ind w:firstLine="640"/>
        <w:rPr>
          <w:rFonts w:ascii="仿宋" w:hAnsi="仿宋" w:eastAsia="仿宋"/>
        </w:rPr>
      </w:pPr>
    </w:p>
    <w:p>
      <w:pPr>
        <w:pStyle w:val="29"/>
        <w:ind w:firstLine="640"/>
        <w:rPr>
          <w:rFonts w:ascii="仿宋" w:hAnsi="仿宋" w:eastAsia="仿宋"/>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黑体" w:hAnsi="黑体" w:eastAsia="黑体" w:cs="黑体"/>
        </w:rPr>
      </w:pPr>
      <w:bookmarkStart w:id="41" w:name="_Toc19460"/>
      <w:r>
        <w:rPr>
          <w:rFonts w:hint="eastAsia" w:ascii="黑体" w:hAnsi="黑体" w:eastAsia="黑体" w:cs="黑体"/>
        </w:rPr>
        <w:t>一、发展现状</w:t>
      </w:r>
      <w:bookmarkEnd w:id="41"/>
    </w:p>
    <w:p>
      <w:pPr>
        <w:pStyle w:val="4"/>
        <w:keepNext w:val="0"/>
        <w:keepLines w:val="0"/>
        <w:pageBreakBefore w:val="0"/>
        <w:widowControl w:val="0"/>
        <w:kinsoku/>
        <w:wordWrap/>
        <w:overflowPunct/>
        <w:topLinePunct w:val="0"/>
        <w:autoSpaceDE/>
        <w:autoSpaceDN/>
        <w:bidi w:val="0"/>
        <w:adjustRightInd w:val="0"/>
        <w:snapToGrid/>
        <w:spacing w:before="156" w:beforeLines="50" w:after="156" w:afterLines="50" w:line="560" w:lineRule="exact"/>
        <w:textAlignment w:val="auto"/>
        <w:rPr>
          <w:rFonts w:hint="eastAsia" w:ascii="楷体" w:hAnsi="楷体" w:eastAsia="楷体" w:cs="楷体"/>
        </w:rPr>
      </w:pPr>
      <w:bookmarkStart w:id="42" w:name="_Toc15352"/>
      <w:r>
        <w:rPr>
          <w:rFonts w:hint="eastAsia" w:ascii="楷体" w:hAnsi="楷体" w:eastAsia="楷体" w:cs="楷体"/>
        </w:rPr>
        <w:t>（一）发展基础</w:t>
      </w:r>
      <w:bookmarkEnd w:id="42"/>
    </w:p>
    <w:p>
      <w:pPr>
        <w:pStyle w:val="29"/>
        <w:spacing w:line="560" w:lineRule="exact"/>
        <w:ind w:firstLine="640"/>
        <w:rPr>
          <w:rFonts w:ascii="仿宋" w:hAnsi="仿宋" w:eastAsia="仿宋"/>
        </w:rPr>
      </w:pPr>
      <w:r>
        <w:rPr>
          <w:rFonts w:hint="eastAsia" w:ascii="仿宋" w:hAnsi="仿宋" w:eastAsia="仿宋"/>
        </w:rPr>
        <w:t>“十三五”以来，乐清凝聚数字经济发展合力，奋力打造数字经济创新发展的“乐清样板”，先后被列为省两化深度融合国家综合</w:t>
      </w:r>
      <w:r>
        <w:rPr>
          <w:rFonts w:hint="eastAsia" w:ascii="仿宋" w:hAnsi="仿宋" w:eastAsia="仿宋"/>
          <w:lang w:val="en-US" w:eastAsia="zh-CN"/>
        </w:rPr>
        <w:t>性</w:t>
      </w:r>
      <w:r>
        <w:rPr>
          <w:rFonts w:hint="eastAsia" w:ascii="仿宋" w:hAnsi="仿宋" w:eastAsia="仿宋"/>
        </w:rPr>
        <w:t>示范区、省信息经济发展示范区、省软件和信息服务业特色基地、数字经济“一号工程”省督查激励名单和省数字经济创新发展试验区。</w:t>
      </w:r>
    </w:p>
    <w:p>
      <w:pPr>
        <w:pStyle w:val="5"/>
        <w:spacing w:before="156" w:beforeLines="50" w:after="156" w:afterLines="50" w:line="560" w:lineRule="exact"/>
        <w:rPr>
          <w:rFonts w:ascii="仿宋" w:hAnsi="仿宋" w:eastAsia="仿宋"/>
        </w:rPr>
      </w:pPr>
      <w:bookmarkStart w:id="43" w:name="_Toc4162"/>
      <w:r>
        <w:rPr>
          <w:rFonts w:hint="eastAsia" w:ascii="仿宋" w:hAnsi="仿宋" w:eastAsia="仿宋"/>
        </w:rPr>
        <w:t>1.数字产业规模不断壮大，综合实力全省领先</w:t>
      </w:r>
      <w:bookmarkEnd w:id="43"/>
    </w:p>
    <w:p>
      <w:pPr>
        <w:pStyle w:val="29"/>
        <w:spacing w:line="560" w:lineRule="exact"/>
        <w:ind w:firstLine="640"/>
        <w:rPr>
          <w:rFonts w:ascii="仿宋" w:hAnsi="仿宋" w:eastAsia="仿宋"/>
        </w:rPr>
      </w:pPr>
      <w:r>
        <w:rPr>
          <w:rFonts w:hint="eastAsia" w:ascii="仿宋" w:hAnsi="仿宋" w:eastAsia="仿宋"/>
        </w:rPr>
        <w:t>近年来，我市数字经济核心产业总量规模不断壮大，2020年，实现数字经济核心产业增加值162.7亿元，其中，规上数字经济核心产业制造业增加值83.26亿元，占规上工业比重达26.85%，高出全省平均水平近1倍，总量占温州市的一半以上。全市拥有规上数字经济核心制造业企业402家，占规上企业数25.67%，其中亿元以上企业98家；规上数字经济服务业企业13家，主营业务收入近30亿元。数字经济核心产业初步形成电力电子、电子元器件、智能电网、物联网传感器、集成电路、嵌入式软件和信息服务为主的产业结构，正泰物联网传感器产业园作为省级“万亩千亿”平台成为乐清智能电力物联网新产业的重大标志性项目。2020年乐清市数字经济发展综合评价得分104.6分，在全省各县（市、区）中排名第5位，是温州唯一一个处于第一层次的县（市、区），数字经济“领跑”优势明显。</w:t>
      </w:r>
    </w:p>
    <w:p>
      <w:pPr>
        <w:pStyle w:val="5"/>
        <w:spacing w:before="156" w:beforeLines="50" w:after="156" w:afterLines="50" w:line="560" w:lineRule="exact"/>
        <w:rPr>
          <w:rFonts w:ascii="仿宋" w:hAnsi="仿宋" w:eastAsia="仿宋"/>
        </w:rPr>
      </w:pPr>
      <w:bookmarkStart w:id="44" w:name="_Toc15457"/>
      <w:r>
        <w:rPr>
          <w:rFonts w:hint="eastAsia" w:ascii="仿宋" w:hAnsi="仿宋" w:eastAsia="仿宋"/>
        </w:rPr>
        <w:t>2.工业数字改造进程加快，智能制造深入推进</w:t>
      </w:r>
      <w:bookmarkEnd w:id="44"/>
    </w:p>
    <w:p>
      <w:pPr>
        <w:pStyle w:val="29"/>
        <w:spacing w:line="560" w:lineRule="exact"/>
        <w:ind w:firstLine="640"/>
        <w:rPr>
          <w:rFonts w:ascii="仿宋" w:hAnsi="仿宋" w:eastAsia="仿宋"/>
        </w:rPr>
      </w:pPr>
      <w:r>
        <w:rPr>
          <w:rFonts w:hint="eastAsia" w:ascii="仿宋" w:hAnsi="仿宋" w:eastAsia="仿宋"/>
        </w:rPr>
        <w:t>我市积极推进互联网、大数据、人工智能和制造业深度融合，大力支持企业数字化转型，近三年累计兑现智能化技改补助3.6亿元、年均增长近30%。通过持续开展“千企智能化改造”，组建了产业集群数字赋能创新联盟，全市90%以上规上电气企业实施智能化技术改造，电气重点企业装备数控化率达到90%，工业设备联网率达到65%。截至2020底，已建立了30家数字化车间、智能工厂培育企业库，目前全市共拥有</w:t>
      </w:r>
      <w:r>
        <w:rPr>
          <w:rFonts w:hint="eastAsia" w:ascii="仿宋" w:hAnsi="仿宋" w:eastAsia="仿宋"/>
          <w:lang w:val="en-US" w:eastAsia="zh-CN"/>
        </w:rPr>
        <w:t>省级</w:t>
      </w:r>
      <w:r>
        <w:rPr>
          <w:rFonts w:hint="eastAsia" w:ascii="仿宋" w:hAnsi="仿宋" w:eastAsia="仿宋"/>
        </w:rPr>
        <w:t>数字化车间、智能工厂8家，正泰电器入选全省首批“未来工厂”；率先启动30家“5G+工业互联网平台+智能制造”应用试点示范建设，实施20个车间物联网改造项目，完成223家企业智能化诊断服务，智能化技改工作走在温州乃至全省前列。2020年乐清市两化融合发展指数107.06，位居全省第5位，处于全省领先梯队，长期稳居温州市第一。</w:t>
      </w:r>
    </w:p>
    <w:p>
      <w:pPr>
        <w:pStyle w:val="5"/>
        <w:spacing w:before="156" w:beforeLines="50" w:after="156" w:afterLines="50" w:line="560" w:lineRule="exact"/>
        <w:rPr>
          <w:rFonts w:ascii="仿宋" w:hAnsi="仿宋" w:eastAsia="仿宋"/>
        </w:rPr>
      </w:pPr>
      <w:bookmarkStart w:id="45" w:name="_Toc15552"/>
      <w:r>
        <w:rPr>
          <w:rFonts w:hint="eastAsia" w:ascii="仿宋" w:hAnsi="仿宋" w:eastAsia="仿宋"/>
        </w:rPr>
        <w:t>3.新模式新业态活跃发展，融合应用亮点频现</w:t>
      </w:r>
      <w:bookmarkEnd w:id="45"/>
    </w:p>
    <w:p>
      <w:pPr>
        <w:pStyle w:val="29"/>
        <w:spacing w:line="560" w:lineRule="exact"/>
        <w:ind w:firstLine="640"/>
        <w:rPr>
          <w:rFonts w:ascii="仿宋" w:hAnsi="仿宋" w:eastAsia="仿宋"/>
        </w:rPr>
      </w:pPr>
      <w:r>
        <w:rPr>
          <w:rFonts w:hint="eastAsia" w:ascii="仿宋" w:hAnsi="仿宋" w:eastAsia="仿宋"/>
        </w:rPr>
        <w:t>我市充分发挥在电子商务、移动支付方面的优势，积极推进数字经济技术与贸易、商务的深度融合，2020年全市网络零售</w:t>
      </w:r>
      <w:r>
        <w:rPr>
          <w:rFonts w:ascii="仿宋" w:hAnsi="仿宋" w:eastAsia="仿宋"/>
        </w:rPr>
        <w:t>235</w:t>
      </w:r>
      <w:r>
        <w:rPr>
          <w:rFonts w:hint="eastAsia" w:ascii="仿宋" w:hAnsi="仿宋" w:eastAsia="仿宋"/>
        </w:rPr>
        <w:t>.</w:t>
      </w:r>
      <w:r>
        <w:rPr>
          <w:rFonts w:ascii="仿宋" w:hAnsi="仿宋" w:eastAsia="仿宋"/>
        </w:rPr>
        <w:t>9</w:t>
      </w:r>
      <w:r>
        <w:rPr>
          <w:rFonts w:hint="eastAsia" w:ascii="仿宋" w:hAnsi="仿宋" w:eastAsia="仿宋"/>
        </w:rPr>
        <w:t>亿元，培育了106个浙江省电商专业村和39个浙江省电子商务示范村，专业村和示范村数量均居温州市第一位。积极引入国贸数字跨境电商公司，以“数字赋能、品牌出海”等助推乐清经济发展。乐清把推进“数字三农”建设作为实现乡村振兴的重大措施，积极推进数字农业农村建设，成功创建温州市农业物联网示范市。以石斛产业为突破口，率先启动数字化改造，加速数字技术与农业深度融合，成功获评全国第五批率先基本实现主要农作物生产全程机械化示范县、全国县域数字农业农村发展水平评价先进县等荣誉，走出了一条数字赋能乡村振兴的新路子。</w:t>
      </w:r>
    </w:p>
    <w:p>
      <w:pPr>
        <w:pStyle w:val="5"/>
        <w:spacing w:before="156" w:beforeLines="50" w:after="156" w:afterLines="50" w:line="560" w:lineRule="exact"/>
        <w:rPr>
          <w:rFonts w:ascii="仿宋" w:hAnsi="仿宋" w:eastAsia="仿宋"/>
        </w:rPr>
      </w:pPr>
      <w:bookmarkStart w:id="46" w:name="_Toc28255"/>
      <w:r>
        <w:rPr>
          <w:rFonts w:hint="eastAsia" w:ascii="仿宋" w:hAnsi="仿宋" w:eastAsia="仿宋"/>
        </w:rPr>
        <w:t>4.政府数字转型持续推进，治理模式走在前列</w:t>
      </w:r>
      <w:bookmarkEnd w:id="46"/>
    </w:p>
    <w:p>
      <w:pPr>
        <w:pStyle w:val="29"/>
        <w:spacing w:line="560" w:lineRule="exact"/>
        <w:ind w:firstLine="640"/>
        <w:rPr>
          <w:rFonts w:ascii="仿宋" w:hAnsi="仿宋" w:eastAsia="仿宋"/>
        </w:rPr>
      </w:pPr>
      <w:r>
        <w:rPr>
          <w:rFonts w:hint="eastAsia" w:ascii="仿宋" w:hAnsi="仿宋" w:eastAsia="仿宋"/>
        </w:rPr>
        <w:t>乐清持续推进政府数字化转型，深化“最多跑一次”改革，有力推进“互联网+政务服务”“互联网+监管”和“互联网</w:t>
      </w:r>
      <w:r>
        <w:rPr>
          <w:rFonts w:ascii="仿宋" w:hAnsi="仿宋" w:eastAsia="仿宋"/>
        </w:rPr>
        <w:t>+协同办公</w:t>
      </w:r>
      <w:r>
        <w:rPr>
          <w:rFonts w:hint="eastAsia" w:ascii="仿宋" w:hAnsi="仿宋" w:eastAsia="仿宋"/>
        </w:rPr>
        <w:t>”等多项工作，深化多业务协同综合应用和数据归集共享开放工作。目前乐清市数字化改革总门户及数字政府、数字经济、数字社会、数字法治等子门户均已上线并与省市贯通，并上线各类场景应用16个。其中，乐清智能电气产业大脑、困难群众救助“一件事”、数字赋能社会治理“一体两翼”“碳均论英雄”等4个应用场景成功入围省级“揭榜挂帅”试点项目。社会大救助、基层减负“报一次”入选省数字化改革最佳实践清单S0版，智慧救助服务联合体、“教育e课堂”直播服务系统、市县数据仓建设等17个项目被列为省级部门数字化改革试点，构建起“全归集、全回流、全覆盖”的一体化智能化数据平台，实现了数据高质量供给。</w:t>
      </w:r>
    </w:p>
    <w:p>
      <w:pPr>
        <w:pStyle w:val="5"/>
        <w:spacing w:before="156" w:beforeLines="50" w:after="156" w:afterLines="50" w:line="560" w:lineRule="exact"/>
        <w:rPr>
          <w:rFonts w:ascii="仿宋" w:hAnsi="仿宋" w:eastAsia="仿宋"/>
        </w:rPr>
      </w:pPr>
      <w:bookmarkStart w:id="47" w:name="_Toc15994"/>
      <w:r>
        <w:rPr>
          <w:rFonts w:hint="eastAsia" w:ascii="仿宋" w:hAnsi="仿宋" w:eastAsia="仿宋"/>
        </w:rPr>
        <w:t>5.数字基础设施日趋完善，网络支撑能力增强</w:t>
      </w:r>
      <w:bookmarkEnd w:id="47"/>
    </w:p>
    <w:p>
      <w:pPr>
        <w:pStyle w:val="29"/>
        <w:spacing w:line="560" w:lineRule="exact"/>
        <w:ind w:firstLine="640"/>
        <w:rPr>
          <w:rFonts w:ascii="仿宋" w:hAnsi="仿宋" w:eastAsia="仿宋"/>
        </w:rPr>
      </w:pPr>
      <w:r>
        <w:rPr>
          <w:rFonts w:hint="eastAsia" w:ascii="仿宋" w:hAnsi="仿宋" w:eastAsia="仿宋"/>
        </w:rPr>
        <w:t>我市聚焦数字经济发展“硬件”升级，围绕城市和农村宽带提速、5G网络部署、数据中心、下一代互联网部署等领域，加大网络基础设施建设。加快建设5G基站，全面开展5G服务。2020年，乐清市新增完成新建5G基站96个，改造544个，开通1434个，合计新增5G基站2074个，形成市区、重要乡镇（街道）、交通干线、重要区域的5G连续覆盖。按照国际T4、国内五星级数据机房标准建设的浙江云谷磐石数据中心正式投用，总投资10.6亿元，占地50亩，可设机柜7900架，该数据中心是浙江省目前规模最大的通用算力中心，计算速度可达1.39千万亿次/秒。截</w:t>
      </w:r>
      <w:r>
        <w:rPr>
          <w:rFonts w:hint="eastAsia" w:ascii="仿宋" w:hAnsi="仿宋" w:eastAsia="仿宋"/>
          <w:lang w:eastAsia="zh-CN"/>
        </w:rPr>
        <w:t>至</w:t>
      </w:r>
      <w:bookmarkStart w:id="117" w:name="_GoBack"/>
      <w:bookmarkEnd w:id="117"/>
      <w:r>
        <w:rPr>
          <w:rFonts w:hint="eastAsia" w:ascii="仿宋" w:hAnsi="仿宋" w:eastAsia="仿宋"/>
        </w:rPr>
        <w:t>目前我市城域网出口宽带1501.0 Gbps，比上年增长73.1%；固定宽带端口平均速率为106.5Mbps，比上年提高25.6Mbps。</w:t>
      </w:r>
    </w:p>
    <w:p>
      <w:pPr>
        <w:pStyle w:val="5"/>
        <w:spacing w:before="156" w:beforeLines="50" w:after="156" w:afterLines="50" w:line="560" w:lineRule="exact"/>
        <w:rPr>
          <w:rFonts w:ascii="仿宋" w:hAnsi="仿宋" w:eastAsia="仿宋"/>
        </w:rPr>
      </w:pPr>
      <w:bookmarkStart w:id="48" w:name="_Toc26547"/>
      <w:r>
        <w:rPr>
          <w:rFonts w:hint="eastAsia" w:ascii="仿宋" w:hAnsi="仿宋" w:eastAsia="仿宋"/>
        </w:rPr>
        <w:t>6.产业发展环境日益优化，工作机制不断健全</w:t>
      </w:r>
      <w:bookmarkEnd w:id="48"/>
    </w:p>
    <w:p>
      <w:pPr>
        <w:pStyle w:val="29"/>
        <w:spacing w:line="560" w:lineRule="exact"/>
        <w:ind w:firstLine="640"/>
        <w:rPr>
          <w:rFonts w:ascii="仿宋" w:hAnsi="仿宋" w:eastAsia="仿宋"/>
        </w:rPr>
      </w:pPr>
      <w:r>
        <w:rPr>
          <w:rFonts w:hint="eastAsia" w:ascii="仿宋" w:hAnsi="仿宋" w:eastAsia="仿宋"/>
        </w:rPr>
        <w:t>乐清市委、市政府高度重视数字经济发展，成立了数字经济发展领导小组，领导小组下设5个推进小组，建立了推进会、联络员等一系列工作制度。</w:t>
      </w:r>
      <w:r>
        <w:rPr>
          <w:rFonts w:hint="eastAsia" w:ascii="仿宋" w:hAnsi="仿宋" w:eastAsia="仿宋"/>
          <w:lang w:val="en-US" w:eastAsia="zh-CN"/>
        </w:rPr>
        <w:t>召开</w:t>
      </w:r>
      <w:r>
        <w:rPr>
          <w:rFonts w:hint="eastAsia" w:ascii="仿宋" w:hAnsi="仿宋" w:eastAsia="仿宋"/>
        </w:rPr>
        <w:t>全市数字经济创新发展大会，</w:t>
      </w:r>
      <w:r>
        <w:rPr>
          <w:rFonts w:ascii="仿宋" w:hAnsi="仿宋" w:eastAsia="仿宋"/>
        </w:rPr>
        <w:t>推动形成数字经济创新发展的强大声势</w:t>
      </w:r>
      <w:r>
        <w:rPr>
          <w:rFonts w:hint="eastAsia" w:ascii="仿宋" w:hAnsi="仿宋" w:eastAsia="仿宋"/>
        </w:rPr>
        <w:t>，提出</w:t>
      </w:r>
      <w:r>
        <w:rPr>
          <w:rFonts w:ascii="仿宋" w:hAnsi="仿宋" w:eastAsia="仿宋"/>
        </w:rPr>
        <w:t>奋力打造数字经济创新发展的</w:t>
      </w:r>
      <w:r>
        <w:rPr>
          <w:rFonts w:hint="eastAsia" w:ascii="仿宋" w:hAnsi="仿宋" w:eastAsia="仿宋"/>
        </w:rPr>
        <w:t>“</w:t>
      </w:r>
      <w:r>
        <w:rPr>
          <w:rFonts w:ascii="仿宋" w:hAnsi="仿宋" w:eastAsia="仿宋"/>
        </w:rPr>
        <w:t>头部城市</w:t>
      </w:r>
      <w:r>
        <w:rPr>
          <w:rFonts w:hint="eastAsia" w:ascii="仿宋" w:hAnsi="仿宋" w:eastAsia="仿宋"/>
        </w:rPr>
        <w:t>”。</w:t>
      </w:r>
      <w:r>
        <w:rPr>
          <w:rFonts w:hint="eastAsia" w:ascii="仿宋" w:hAnsi="仿宋" w:eastAsia="仿宋"/>
          <w:lang w:val="en-US" w:eastAsia="zh-CN"/>
        </w:rPr>
        <w:t>出台</w:t>
      </w:r>
      <w:r>
        <w:rPr>
          <w:rFonts w:hint="eastAsia" w:ascii="仿宋" w:hAnsi="仿宋" w:eastAsia="仿宋"/>
        </w:rPr>
        <w:t>“数字经济新十条”“新基建十条”等大力度的政策，围绕5G、人工智能、工业互联网、大数据中心、云计算、区块链、物联网等数字经济核心产业，通过支持项目招引、制造业数字化转型、5G赋能智能制造、工业互联网平台建设、大数据中心建设、软件和信息服务业发展、数字化产品研发生产、人才认定引进、园区数字化改造等政策扶持，全力打造数字赋能驱动高质量发展的乐清样板，进一步支持数字经济创新发展。</w:t>
      </w:r>
    </w:p>
    <w:p>
      <w:pPr>
        <w:pStyle w:val="4"/>
        <w:spacing w:before="156" w:beforeLines="50" w:after="156" w:afterLines="50" w:line="560" w:lineRule="exact"/>
        <w:rPr>
          <w:rFonts w:hint="eastAsia" w:ascii="楷体" w:hAnsi="楷体" w:eastAsia="楷体" w:cs="楷体"/>
        </w:rPr>
      </w:pPr>
      <w:bookmarkStart w:id="49" w:name="_Toc1563"/>
      <w:r>
        <w:rPr>
          <w:rFonts w:hint="eastAsia" w:ascii="楷体" w:hAnsi="楷体" w:eastAsia="楷体" w:cs="楷体"/>
        </w:rPr>
        <w:t>（二）存在问题</w:t>
      </w:r>
      <w:bookmarkEnd w:id="49"/>
    </w:p>
    <w:p>
      <w:pPr>
        <w:pStyle w:val="29"/>
        <w:spacing w:line="560" w:lineRule="exact"/>
        <w:ind w:firstLine="640"/>
        <w:rPr>
          <w:rFonts w:ascii="仿宋" w:hAnsi="仿宋" w:eastAsia="仿宋"/>
        </w:rPr>
      </w:pPr>
      <w:r>
        <w:rPr>
          <w:rFonts w:hint="eastAsia" w:ascii="仿宋" w:hAnsi="仿宋" w:eastAsia="仿宋"/>
        </w:rPr>
        <w:t>虽然我市数字经济发展处于全省第一梯队，在温州地区处于领先地位，但是对标滨江、余杭、西湖等地，还有一些差距。乐清数字经济发展还存在一些突出的问题和瓶颈制约。主要表现在以下几个方面：</w:t>
      </w:r>
    </w:p>
    <w:p>
      <w:pPr>
        <w:pStyle w:val="5"/>
        <w:spacing w:before="156" w:beforeLines="50" w:after="156" w:afterLines="50" w:line="560" w:lineRule="exact"/>
        <w:rPr>
          <w:rFonts w:ascii="仿宋" w:hAnsi="仿宋" w:eastAsia="仿宋"/>
        </w:rPr>
      </w:pPr>
      <w:bookmarkStart w:id="50" w:name="_Toc26779"/>
      <w:r>
        <w:rPr>
          <w:rFonts w:hint="eastAsia" w:ascii="仿宋" w:hAnsi="仿宋" w:eastAsia="仿宋"/>
        </w:rPr>
        <w:t>1.核心产业能级不高，质效有待提升</w:t>
      </w:r>
      <w:bookmarkEnd w:id="50"/>
    </w:p>
    <w:p>
      <w:pPr>
        <w:pStyle w:val="29"/>
        <w:spacing w:line="560" w:lineRule="exact"/>
        <w:ind w:firstLine="640"/>
        <w:rPr>
          <w:rFonts w:ascii="仿宋" w:hAnsi="仿宋" w:eastAsia="仿宋"/>
        </w:rPr>
      </w:pPr>
      <w:r>
        <w:rPr>
          <w:rFonts w:hint="eastAsia" w:ascii="仿宋" w:hAnsi="仿宋" w:eastAsia="仿宋"/>
        </w:rPr>
        <w:t>总体来看，我市数字产业层次偏低，核心产业主要以电气、电子、仪器仪表、电线电缆等传统制造业为主，产品结构多处于中低端，科技含量不高，附加值较低。相较已形成集成电路、高端电子元器件、新型显示技术、人工智能设备等高新产业集群的杭州、宁波、嘉兴等地存在明显差距，在建项目中涉及云计算、大数据、人工智能的高端项目不多，增长动能不足。在智能电网产业方面，我市近年来在信号和数据采集、传输、控制、嵌入式技术开发、软件开发等技术的应用积累不够，从事电力电子技术领域的企业较少，与国内同样从中压设备崛起后进入配电自动化设备领域的上海和南京相比，还有不少差距。我市数字经济核心产业软件和信息服务业发展明显滞后，全市至今没有一家真正具有工业软件研发能力、系统解决方案供给能力的本土企业，</w:t>
      </w:r>
      <w:r>
        <w:rPr>
          <w:rFonts w:hint="eastAsia" w:ascii="仿宋" w:hAnsi="仿宋" w:eastAsia="仿宋"/>
          <w:lang w:val="en-US" w:eastAsia="zh-CN"/>
        </w:rPr>
        <w:t>对我市</w:t>
      </w:r>
      <w:r>
        <w:rPr>
          <w:rFonts w:hint="eastAsia" w:ascii="仿宋" w:hAnsi="仿宋" w:eastAsia="仿宋"/>
        </w:rPr>
        <w:t>企业数字化转型</w:t>
      </w:r>
      <w:r>
        <w:rPr>
          <w:rFonts w:hint="eastAsia" w:ascii="仿宋" w:hAnsi="仿宋" w:eastAsia="仿宋"/>
          <w:lang w:val="en-US" w:eastAsia="zh-CN"/>
        </w:rPr>
        <w:t>支撑能力不足</w:t>
      </w:r>
      <w:r>
        <w:rPr>
          <w:rFonts w:hint="eastAsia" w:ascii="仿宋" w:hAnsi="仿宋" w:eastAsia="仿宋"/>
        </w:rPr>
        <w:t>。</w:t>
      </w:r>
    </w:p>
    <w:p>
      <w:pPr>
        <w:pStyle w:val="5"/>
        <w:spacing w:before="156" w:beforeLines="50" w:after="156" w:afterLines="50" w:line="560" w:lineRule="exact"/>
        <w:rPr>
          <w:rFonts w:ascii="仿宋" w:hAnsi="仿宋" w:eastAsia="仿宋"/>
        </w:rPr>
      </w:pPr>
      <w:bookmarkStart w:id="51" w:name="_Toc9249"/>
      <w:r>
        <w:rPr>
          <w:rFonts w:hint="eastAsia" w:ascii="仿宋" w:hAnsi="仿宋" w:eastAsia="仿宋"/>
        </w:rPr>
        <w:t>2.科技创新驱动不足，人才招引困难</w:t>
      </w:r>
      <w:bookmarkEnd w:id="51"/>
    </w:p>
    <w:p>
      <w:pPr>
        <w:pStyle w:val="29"/>
        <w:spacing w:line="560" w:lineRule="exact"/>
        <w:ind w:firstLine="640"/>
        <w:rPr>
          <w:rFonts w:ascii="仿宋" w:hAnsi="仿宋" w:eastAsia="仿宋"/>
        </w:rPr>
      </w:pPr>
      <w:r>
        <w:rPr>
          <w:rFonts w:hint="eastAsia" w:ascii="仿宋" w:hAnsi="仿宋" w:eastAsia="仿宋"/>
        </w:rPr>
        <w:t>创新能力是数字经济发展关键支撑，当前我市数字经济的科技创新投入总体不足，产学研结合的深度和广度还不够，缺少有影响力、带动力的科技创新载体和产学研合作模式，绝大部分企业存在路径跟随、标杆技术较少、品牌价值较低等问题。影响科技创新的关键要素是人才，目前数字经济人才制约问题较为突出。乐清作为县级城市，受制于城市能级不高、人文地理环境的局限性、城市公共服务的薄弱，人才软环境吸引力不足，数字经济领域的人才招引存在较大困难。</w:t>
      </w:r>
    </w:p>
    <w:p>
      <w:pPr>
        <w:pStyle w:val="5"/>
        <w:spacing w:before="156" w:beforeLines="50" w:after="156" w:afterLines="50" w:line="560" w:lineRule="exact"/>
        <w:rPr>
          <w:rFonts w:ascii="仿宋" w:hAnsi="仿宋" w:eastAsia="仿宋"/>
        </w:rPr>
      </w:pPr>
      <w:bookmarkStart w:id="52" w:name="_Toc13298"/>
      <w:r>
        <w:rPr>
          <w:rFonts w:hint="eastAsia" w:ascii="仿宋" w:hAnsi="仿宋" w:eastAsia="仿宋"/>
        </w:rPr>
        <w:t>3.数字应用深度不够，平台服务欠佳</w:t>
      </w:r>
      <w:bookmarkEnd w:id="52"/>
    </w:p>
    <w:p>
      <w:pPr>
        <w:pStyle w:val="29"/>
        <w:spacing w:line="560" w:lineRule="exact"/>
        <w:ind w:firstLine="640"/>
        <w:rPr>
          <w:rFonts w:ascii="仿宋" w:hAnsi="仿宋" w:eastAsia="仿宋"/>
        </w:rPr>
      </w:pPr>
      <w:r>
        <w:rPr>
          <w:rFonts w:hint="eastAsia" w:ascii="仿宋" w:hAnsi="仿宋" w:eastAsia="仿宋"/>
        </w:rPr>
        <w:t>我市除了部分龙头企业数字化发展程度较高，量大面广的中小民营企业数字技术与制造业融合不够，可供参考的数字化成功案例还较少，带动性不强。许多中小企业因数字技术改造投入大，转换成本高，认为数字化投入效果不可预知，不确定性和风险</w:t>
      </w:r>
      <w:r>
        <w:rPr>
          <w:rFonts w:hint="eastAsia" w:ascii="仿宋" w:hAnsi="仿宋" w:eastAsia="仿宋"/>
          <w:lang w:val="en-US" w:eastAsia="zh-CN"/>
        </w:rPr>
        <w:t>较高</w:t>
      </w:r>
      <w:r>
        <w:rPr>
          <w:rFonts w:hint="eastAsia" w:ascii="仿宋" w:hAnsi="仿宋" w:eastAsia="仿宋"/>
        </w:rPr>
        <w:t>，因此对数字转型发展存在一定顾虑，内生动力不足，“不敢数字化、不会数字化、不想数字化”的现象比较普遍。当前能够紧扣制造业流程开发应用、深耕于制造业数字化改造、满足企业一体化升级、个性化改造的服务平台和服务商还偏少，支撑能力不足。工业互联网平台是实体经济全要素连接枢纽和资源配置中心，但是我市工业互联网平台起步</w:t>
      </w:r>
      <w:r>
        <w:rPr>
          <w:rFonts w:hint="eastAsia" w:ascii="仿宋" w:hAnsi="仿宋" w:eastAsia="仿宋"/>
          <w:lang w:val="en-US" w:eastAsia="zh-CN"/>
        </w:rPr>
        <w:t>相对</w:t>
      </w:r>
      <w:r>
        <w:rPr>
          <w:rFonts w:hint="eastAsia" w:ascii="仿宋" w:hAnsi="仿宋" w:eastAsia="仿宋"/>
        </w:rPr>
        <w:t>较晚，全市工业互联网平台功能不够完善，商业成熟度低，难以更好服务本地的企业。</w:t>
      </w:r>
    </w:p>
    <w:p>
      <w:pPr>
        <w:pStyle w:val="5"/>
        <w:spacing w:before="156" w:beforeLines="50" w:after="156" w:afterLines="50" w:line="560" w:lineRule="exact"/>
        <w:rPr>
          <w:rFonts w:ascii="仿宋" w:hAnsi="仿宋" w:eastAsia="仿宋"/>
        </w:rPr>
      </w:pPr>
      <w:bookmarkStart w:id="53" w:name="_Toc15107"/>
      <w:r>
        <w:rPr>
          <w:rFonts w:hint="eastAsia" w:ascii="仿宋" w:hAnsi="仿宋" w:eastAsia="仿宋"/>
        </w:rPr>
        <w:t>4.数据价值挖掘不深，共享有待加强</w:t>
      </w:r>
      <w:bookmarkEnd w:id="53"/>
    </w:p>
    <w:p>
      <w:pPr>
        <w:pStyle w:val="29"/>
        <w:spacing w:line="560" w:lineRule="exact"/>
        <w:ind w:firstLine="640"/>
        <w:rPr>
          <w:rFonts w:ascii="仿宋" w:hAnsi="仿宋" w:eastAsia="仿宋"/>
        </w:rPr>
      </w:pPr>
      <w:r>
        <w:rPr>
          <w:rFonts w:hint="eastAsia" w:ascii="仿宋" w:hAnsi="仿宋" w:eastAsia="仿宋"/>
          <w:bCs/>
        </w:rPr>
        <w:t>现在无论是企业还是政府部门，都建设了大量的信息系统，数据采集也较多，但对数据作为关键生产要素的认知不足，未能充分认识到数据资源的价值，用数据驱动经济社会转型的动力不够。一些政府单位对公共数据开放不够重视，影响了“一证通办”“一件事”联办和后续数据分析，不利于数字政府效用的发挥。全社会数据要素开发开放、共享共用程度还不高，数据鸿沟、信息孤岛问题仍然存在，尤其是一些垂直业务系统还不能互联互通，巨量数据资源的价值未能充分挖掘，大数据开发利用仍处在起步阶段。</w:t>
      </w:r>
    </w:p>
    <w:p>
      <w:pPr>
        <w:pStyle w:val="4"/>
        <w:spacing w:before="156" w:beforeLines="50" w:after="156" w:afterLines="50" w:line="560" w:lineRule="exact"/>
        <w:rPr>
          <w:rFonts w:hint="eastAsia" w:ascii="楷体" w:hAnsi="楷体" w:eastAsia="楷体" w:cs="楷体"/>
        </w:rPr>
      </w:pPr>
      <w:bookmarkStart w:id="54" w:name="_Toc18738"/>
      <w:bookmarkStart w:id="55" w:name="_Toc48563210"/>
      <w:r>
        <w:rPr>
          <w:rFonts w:hint="eastAsia" w:ascii="楷体" w:hAnsi="楷体" w:eastAsia="楷体" w:cs="楷体"/>
        </w:rPr>
        <w:t>（三）发展形势</w:t>
      </w:r>
      <w:bookmarkEnd w:id="54"/>
      <w:bookmarkEnd w:id="55"/>
    </w:p>
    <w:p>
      <w:pPr>
        <w:pStyle w:val="29"/>
        <w:spacing w:line="560" w:lineRule="exact"/>
        <w:ind w:firstLine="640"/>
        <w:rPr>
          <w:rFonts w:ascii="仿宋" w:hAnsi="仿宋" w:eastAsia="仿宋"/>
          <w:bCs/>
        </w:rPr>
      </w:pPr>
      <w:r>
        <w:rPr>
          <w:rFonts w:hint="eastAsia" w:ascii="仿宋" w:hAnsi="仿宋" w:eastAsia="仿宋"/>
          <w:bCs/>
        </w:rPr>
        <w:t>进入“十四五”时期，国际国内发展环境发生深刻复杂变化，我市数字经济发展在迎来重要战略机遇期的同时，也面临严峻的新挑战。</w:t>
      </w:r>
    </w:p>
    <w:p>
      <w:pPr>
        <w:pStyle w:val="5"/>
        <w:spacing w:before="156" w:beforeLines="50" w:after="156" w:afterLines="50" w:line="560" w:lineRule="exact"/>
        <w:rPr>
          <w:rFonts w:ascii="仿宋" w:hAnsi="仿宋" w:eastAsia="仿宋"/>
        </w:rPr>
      </w:pPr>
      <w:bookmarkStart w:id="56" w:name="_Toc48563211"/>
      <w:bookmarkStart w:id="57" w:name="_Toc8112"/>
      <w:r>
        <w:rPr>
          <w:rFonts w:hint="eastAsia" w:ascii="仿宋" w:hAnsi="仿宋" w:eastAsia="仿宋"/>
        </w:rPr>
        <w:t>1.从国际来看，</w:t>
      </w:r>
      <w:bookmarkEnd w:id="56"/>
      <w:r>
        <w:rPr>
          <w:rFonts w:hint="eastAsia" w:ascii="仿宋" w:hAnsi="仿宋" w:eastAsia="仿宋"/>
        </w:rPr>
        <w:t>数字经济成为构筑经济增长的新支撑</w:t>
      </w:r>
      <w:bookmarkEnd w:id="57"/>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当今世界正经历百年未有之大变局，新一轮科技革命和产业变革深入发展，以人工智能、量子信息、云计算、物联网、区块链为代表的新一代信息技术加速突破应用，人类加速步入数字化时代，世界主要国家纷纷出台战略规划，采取有力举措，积极抢占数字经济发展制高点，重塑全球竞争新优势，美国、德国、英国和日本等发达国家同年的数字经济比重均超过50%。同时，国际环境错综复杂，新冠肺炎疫情影响广泛深远，不稳定性不确定性明显增加，全球产业链供应链面临重构，数字经济竞合加剧。未来五年，数字经济进入全面渗透、跨界融合、加速创新、引领发展的阶段，为全球经济复苏和社会进步注入新活力。</w:t>
      </w:r>
    </w:p>
    <w:p>
      <w:pPr>
        <w:pStyle w:val="5"/>
        <w:spacing w:before="156" w:beforeLines="50" w:after="156" w:afterLines="50" w:line="560" w:lineRule="exact"/>
        <w:rPr>
          <w:rFonts w:ascii="仿宋" w:hAnsi="仿宋" w:eastAsia="仿宋"/>
        </w:rPr>
      </w:pPr>
      <w:bookmarkStart w:id="58" w:name="_Toc48563212"/>
      <w:bookmarkStart w:id="59" w:name="_Toc6017"/>
      <w:r>
        <w:rPr>
          <w:rFonts w:hint="eastAsia" w:ascii="仿宋" w:hAnsi="仿宋" w:eastAsia="仿宋"/>
        </w:rPr>
        <w:t>2.从国内来看，</w:t>
      </w:r>
      <w:bookmarkEnd w:id="58"/>
      <w:r>
        <w:rPr>
          <w:rFonts w:hint="eastAsia" w:ascii="仿宋" w:hAnsi="仿宋" w:eastAsia="仿宋"/>
        </w:rPr>
        <w:t>数字经济成为重大战略部署的新重点</w:t>
      </w:r>
      <w:bookmarkEnd w:id="59"/>
    </w:p>
    <w:p>
      <w:pPr>
        <w:spacing w:line="560" w:lineRule="exact"/>
        <w:ind w:firstLine="640" w:firstLineChars="200"/>
        <w:rPr>
          <w:rFonts w:hint="eastAsia" w:ascii="仿宋" w:hAnsi="仿宋" w:eastAsia="仿宋"/>
          <w:kern w:val="2"/>
          <w:sz w:val="32"/>
          <w:szCs w:val="32"/>
          <w:lang w:eastAsia="zh-CN"/>
        </w:rPr>
      </w:pPr>
      <w:r>
        <w:rPr>
          <w:rFonts w:hint="eastAsia" w:ascii="仿宋" w:hAnsi="仿宋" w:eastAsia="仿宋"/>
          <w:kern w:val="2"/>
          <w:sz w:val="32"/>
          <w:szCs w:val="32"/>
        </w:rPr>
        <w:t>近年来，我国数字经济持续快速增长，2020年我国数字经济规模达到39.2万亿元，较上年増加3.3万亿元，保持9.7%的高位增长。“十四五”时期，我国数字经济转向深化应用、规范发展、红利释放的新阶段，发展数字经济成为激发创新活力引领经济社会高质量发展的重要动力，成为驱动数字化转型畅通国内国际双循环的必由之路，成为增强我国综合国力构筑国际竞争新优势的战略抉择。党中央、国务院高度重视数字经济发展，十九届五中全会、“十四五”规划和2035远景目标纲要指出，要推动数字经济和实体经济深度融合，加快构建以国内大循环为主体、国内国际双循环相互促进的新发展格局。</w:t>
      </w:r>
      <w:r>
        <w:rPr>
          <w:rFonts w:hint="eastAsia" w:ascii="仿宋" w:hAnsi="仿宋" w:eastAsia="仿宋"/>
          <w:kern w:val="2"/>
          <w:sz w:val="32"/>
          <w:szCs w:val="32"/>
          <w:lang w:val="en-US" w:eastAsia="zh-CN"/>
        </w:rPr>
        <w:t>国务院印发了</w:t>
      </w:r>
      <w:r>
        <w:rPr>
          <w:rFonts w:hint="eastAsia" w:ascii="仿宋" w:hAnsi="仿宋" w:eastAsia="仿宋"/>
          <w:kern w:val="2"/>
          <w:sz w:val="32"/>
          <w:szCs w:val="32"/>
          <w:lang w:eastAsia="zh-CN"/>
        </w:rPr>
        <w:t>《“十四五”数字经济发展规划的通知》，</w:t>
      </w:r>
      <w:r>
        <w:rPr>
          <w:rFonts w:hint="eastAsia" w:ascii="仿宋" w:hAnsi="仿宋" w:eastAsia="仿宋"/>
          <w:kern w:val="2"/>
          <w:sz w:val="32"/>
          <w:szCs w:val="32"/>
          <w:lang w:val="en-US" w:eastAsia="zh-CN"/>
        </w:rPr>
        <w:t>明确要</w:t>
      </w:r>
      <w:r>
        <w:rPr>
          <w:rFonts w:hint="eastAsia" w:ascii="仿宋" w:hAnsi="仿宋" w:eastAsia="仿宋"/>
          <w:kern w:val="2"/>
          <w:sz w:val="32"/>
          <w:szCs w:val="32"/>
          <w:lang w:eastAsia="zh-CN"/>
        </w:rPr>
        <w:t>不断做强做优做大我国数字经济，为构建数字中国提供有力支撑。</w:t>
      </w:r>
    </w:p>
    <w:p>
      <w:pPr>
        <w:pStyle w:val="5"/>
        <w:spacing w:before="156" w:beforeLines="50" w:after="156" w:afterLines="50" w:line="560" w:lineRule="exact"/>
        <w:rPr>
          <w:rFonts w:ascii="仿宋" w:hAnsi="仿宋" w:eastAsia="仿宋"/>
        </w:rPr>
      </w:pPr>
      <w:bookmarkStart w:id="60" w:name="_Toc48563213"/>
      <w:bookmarkStart w:id="61" w:name="_Toc738"/>
      <w:r>
        <w:rPr>
          <w:rFonts w:hint="eastAsia" w:ascii="仿宋" w:hAnsi="仿宋" w:eastAsia="仿宋"/>
        </w:rPr>
        <w:t>3.从浙江来看，</w:t>
      </w:r>
      <w:bookmarkEnd w:id="60"/>
      <w:r>
        <w:rPr>
          <w:rFonts w:hint="eastAsia" w:ascii="仿宋" w:hAnsi="仿宋" w:eastAsia="仿宋"/>
        </w:rPr>
        <w:t>数字化改革开启数字经济发展新阶段</w:t>
      </w:r>
      <w:bookmarkEnd w:id="61"/>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早在2017年，浙江省提出实施数字经济“一号工程”，浙江已发展成为全国数字经济先行省，数字经济成为推动浙江省经济高质量发展的一张“金名片”。2021年初省委提出全面数字化改革，是浙江立足新发展阶段、贯彻新发展理念、构建新发展格局的重大战略举措。浙江省将</w:t>
      </w:r>
      <w:r>
        <w:rPr>
          <w:rFonts w:hint="eastAsia" w:ascii="仿宋" w:hAnsi="仿宋" w:eastAsia="仿宋"/>
          <w:kern w:val="2"/>
          <w:sz w:val="32"/>
          <w:szCs w:val="32"/>
          <w:lang w:val="en-US" w:eastAsia="zh-CN"/>
        </w:rPr>
        <w:t>在</w:t>
      </w:r>
      <w:r>
        <w:rPr>
          <w:rFonts w:hint="eastAsia" w:ascii="仿宋" w:hAnsi="仿宋" w:eastAsia="仿宋"/>
          <w:kern w:val="2"/>
          <w:sz w:val="32"/>
          <w:szCs w:val="32"/>
        </w:rPr>
        <w:t>高水平推进数字经济生态化、融合化和一体化</w:t>
      </w:r>
      <w:r>
        <w:rPr>
          <w:rFonts w:hint="eastAsia" w:ascii="仿宋" w:hAnsi="仿宋" w:eastAsia="仿宋"/>
          <w:kern w:val="2"/>
          <w:sz w:val="32"/>
          <w:szCs w:val="32"/>
          <w:lang w:val="en-US" w:eastAsia="zh-CN"/>
        </w:rPr>
        <w:t>等</w:t>
      </w:r>
      <w:r>
        <w:rPr>
          <w:rFonts w:hint="eastAsia" w:ascii="仿宋" w:hAnsi="仿宋" w:eastAsia="仿宋"/>
          <w:kern w:val="2"/>
          <w:sz w:val="32"/>
          <w:szCs w:val="32"/>
        </w:rPr>
        <w:t>方面持续发力，率先激活海量数据市场，推动数字化与制造业的高度融合共生，全面加快制造业数字化进程，不断催生新产业、新业态、新模式，确保在下一代全球数字经济发展格局中占据领先地位。“十四五”期间浙江提出要加快形成以数字化改革为引领的“三区三中心”发展格局，努力建成全球数字变革高地。</w:t>
      </w:r>
    </w:p>
    <w:p>
      <w:pPr>
        <w:pStyle w:val="5"/>
        <w:spacing w:before="156" w:beforeLines="50" w:after="156" w:afterLines="50" w:line="560" w:lineRule="exact"/>
        <w:rPr>
          <w:rFonts w:ascii="仿宋" w:hAnsi="仿宋" w:eastAsia="仿宋"/>
        </w:rPr>
      </w:pPr>
      <w:bookmarkStart w:id="62" w:name="_Toc14899"/>
      <w:r>
        <w:rPr>
          <w:rFonts w:hint="eastAsia" w:ascii="仿宋" w:hAnsi="仿宋" w:eastAsia="仿宋"/>
        </w:rPr>
        <w:t>4.从温州来看，实施数字经济“一号工程”2.0新版本</w:t>
      </w:r>
      <w:bookmarkEnd w:id="62"/>
    </w:p>
    <w:p>
      <w:pPr>
        <w:spacing w:line="560" w:lineRule="exact"/>
        <w:ind w:firstLine="640" w:firstLineChars="200"/>
        <w:rPr>
          <w:rFonts w:ascii="仿宋" w:hAnsi="仿宋" w:eastAsia="仿宋"/>
        </w:rPr>
      </w:pPr>
      <w:r>
        <w:rPr>
          <w:rFonts w:hint="eastAsia" w:ascii="仿宋" w:hAnsi="仿宋" w:eastAsia="仿宋"/>
          <w:bCs/>
          <w:kern w:val="2"/>
          <w:sz w:val="32"/>
          <w:szCs w:val="32"/>
        </w:rPr>
        <w:t>温州市以新时代“两个健康”先行区、国家自主创新示范区建设为主载体，以发展数字经济“一号工程”为主旋律，实施建平台、引项目、育企业、抓融合、促提速等系列组合拳，全力助推温州民营经济高质量健康发展。温州</w:t>
      </w:r>
      <w:r>
        <w:rPr>
          <w:rFonts w:hint="eastAsia" w:ascii="仿宋" w:hAnsi="仿宋" w:eastAsia="仿宋"/>
          <w:bCs/>
          <w:kern w:val="2"/>
          <w:sz w:val="32"/>
          <w:szCs w:val="32"/>
          <w:lang w:eastAsia="zh-CN"/>
        </w:rPr>
        <w:t>“</w:t>
      </w:r>
      <w:r>
        <w:rPr>
          <w:rFonts w:hint="eastAsia" w:ascii="仿宋" w:hAnsi="仿宋" w:eastAsia="仿宋"/>
          <w:bCs/>
          <w:kern w:val="2"/>
          <w:sz w:val="32"/>
          <w:szCs w:val="32"/>
        </w:rPr>
        <w:t>十四五</w:t>
      </w:r>
      <w:r>
        <w:rPr>
          <w:rFonts w:hint="eastAsia" w:ascii="仿宋" w:hAnsi="仿宋" w:eastAsia="仿宋"/>
          <w:bCs/>
          <w:kern w:val="2"/>
          <w:sz w:val="32"/>
          <w:szCs w:val="32"/>
          <w:lang w:eastAsia="zh-CN"/>
        </w:rPr>
        <w:t>”</w:t>
      </w:r>
      <w:r>
        <w:rPr>
          <w:rFonts w:hint="eastAsia" w:ascii="仿宋" w:hAnsi="仿宋" w:eastAsia="仿宋"/>
          <w:bCs/>
          <w:kern w:val="2"/>
          <w:sz w:val="32"/>
          <w:szCs w:val="32"/>
        </w:rPr>
        <w:t>期间，以数字化改革为引领，以“培育千亿级数字经济产业集群，打造数字经济领跑区”为目标，全力做大做强全省数字经济“第三极”。乐清作为温州市“一廊双核三链多点”数字产业空间布局双核之一，是领跑区的领跑者，任务艰巨。</w:t>
      </w:r>
    </w:p>
    <w:p>
      <w:pPr>
        <w:pStyle w:val="5"/>
        <w:spacing w:before="156" w:beforeLines="50" w:after="156" w:afterLines="50" w:line="560" w:lineRule="exact"/>
        <w:rPr>
          <w:rFonts w:ascii="仿宋" w:hAnsi="仿宋" w:eastAsia="仿宋"/>
        </w:rPr>
      </w:pPr>
      <w:bookmarkStart w:id="63" w:name="_Toc4626"/>
      <w:r>
        <w:rPr>
          <w:rFonts w:hint="eastAsia" w:ascii="仿宋" w:hAnsi="仿宋" w:eastAsia="仿宋"/>
        </w:rPr>
        <w:t>5.从乐清来看，积极抢抓产业革命和科技革命新机遇</w:t>
      </w:r>
      <w:bookmarkEnd w:id="63"/>
    </w:p>
    <w:p>
      <w:pPr>
        <w:pStyle w:val="29"/>
        <w:spacing w:line="560" w:lineRule="exact"/>
        <w:ind w:firstLine="640"/>
        <w:rPr>
          <w:rFonts w:ascii="仿宋" w:hAnsi="仿宋" w:eastAsia="仿宋"/>
        </w:rPr>
      </w:pPr>
      <w:r>
        <w:rPr>
          <w:rFonts w:hint="eastAsia" w:ascii="仿宋" w:hAnsi="仿宋" w:eastAsia="仿宋"/>
        </w:rPr>
        <w:t>乐清作为中国市场经济发育最早、经济发展最具活力的地区之一，综合实力长期位居百强县（市）前列，产业基础雄厚。近年来乐清经济发展增速放缓、增长动力减弱，发展面临多重压力和调整。“十四五”期间，是乐清实现高质量发展具有决定性意义的五年，也是乐清动能转换期、改革深化期、城市蝶变期、民生提档期、治理迭代期。新一代信息技术加速推动经济发展理念、生产方式和发展模式深刻变化，制造业加快向高端化、智能化、绿色化方向发展。这为乐清发挥产业基础和科技创新优势，加速迈向产业中高端水平提供了难得机遇。面对越来越激烈的区域竞争，乐清必须尽早转变经济发展方式，实施数字经济“一号工程”2.0，打好产业基础高级化和产业链现代化攻坚战，实现全社会数字化改革，全面推进数字产业化、产业数字化，才能找到促进高起点上新发展的开门钥匙，在区域竞争中立于不败之地。</w:t>
      </w:r>
    </w:p>
    <w:p>
      <w:pPr>
        <w:pStyle w:val="3"/>
        <w:spacing w:before="156" w:beforeLines="50" w:after="156" w:afterLines="50" w:line="560" w:lineRule="exact"/>
        <w:rPr>
          <w:rFonts w:hint="eastAsia" w:ascii="黑体" w:hAnsi="黑体" w:eastAsia="黑体" w:cs="黑体"/>
        </w:rPr>
      </w:pPr>
      <w:bookmarkStart w:id="64" w:name="_Toc4719"/>
      <w:r>
        <w:rPr>
          <w:rFonts w:hint="eastAsia" w:ascii="黑体" w:hAnsi="黑体" w:eastAsia="黑体" w:cs="黑体"/>
        </w:rPr>
        <w:t>二、总体要求</w:t>
      </w:r>
      <w:bookmarkEnd w:id="64"/>
    </w:p>
    <w:p>
      <w:pPr>
        <w:pStyle w:val="4"/>
        <w:spacing w:before="156" w:beforeLines="50" w:after="156" w:afterLines="50" w:line="560" w:lineRule="exact"/>
        <w:rPr>
          <w:rFonts w:hint="eastAsia" w:ascii="楷体" w:hAnsi="楷体" w:eastAsia="楷体" w:cs="楷体"/>
        </w:rPr>
      </w:pPr>
      <w:bookmarkStart w:id="65" w:name="_Toc13592"/>
      <w:r>
        <w:rPr>
          <w:rFonts w:hint="eastAsia" w:ascii="楷体" w:hAnsi="楷体" w:eastAsia="楷体" w:cs="楷体"/>
        </w:rPr>
        <w:t>（一）指导思想</w:t>
      </w:r>
      <w:bookmarkEnd w:id="65"/>
    </w:p>
    <w:p>
      <w:pPr>
        <w:pStyle w:val="29"/>
        <w:spacing w:line="560" w:lineRule="exact"/>
        <w:ind w:firstLine="640"/>
        <w:rPr>
          <w:rFonts w:ascii="仿宋" w:hAnsi="仿宋" w:eastAsia="仿宋"/>
        </w:rPr>
      </w:pPr>
      <w:r>
        <w:rPr>
          <w:rFonts w:hint="eastAsia" w:ascii="仿宋" w:hAnsi="仿宋" w:eastAsia="仿宋"/>
        </w:rPr>
        <w:t>坚持以习近平新时代中国特色社会主义思想为指导，贯彻党的十九大和历届全会精神，全面推动数字化改革，深入实施数字经济“一号工程”2.0版，拉高标杆、对标一流、勇立潮头，奋力抢占数字经济竞争制高点，以“数字产业化、产业数字化、数字化治理”为发展主线，提升新一代数字技术产业发展能级，促进传统产业数字化转型升级，夯实新型数字基础设施，完善数字治理体系，打造数字经济创新发展的2.0样板，为建设共同富裕示范区和经济高质量发展提供有力支撑。</w:t>
      </w:r>
    </w:p>
    <w:p>
      <w:pPr>
        <w:pStyle w:val="4"/>
        <w:spacing w:before="156" w:beforeLines="50" w:after="156" w:afterLines="50" w:line="560" w:lineRule="exact"/>
        <w:rPr>
          <w:rFonts w:hint="eastAsia" w:ascii="楷体" w:hAnsi="楷体" w:eastAsia="楷体" w:cs="楷体"/>
        </w:rPr>
      </w:pPr>
      <w:bookmarkStart w:id="66" w:name="_Toc28370"/>
      <w:r>
        <w:rPr>
          <w:rFonts w:hint="eastAsia" w:ascii="楷体" w:hAnsi="楷体" w:eastAsia="楷体" w:cs="楷体"/>
        </w:rPr>
        <w:t>（二）基本原则</w:t>
      </w:r>
      <w:bookmarkEnd w:id="66"/>
    </w:p>
    <w:p>
      <w:pPr>
        <w:pStyle w:val="29"/>
        <w:spacing w:line="560" w:lineRule="exact"/>
        <w:rPr>
          <w:rFonts w:ascii="仿宋" w:hAnsi="仿宋" w:eastAsia="仿宋"/>
        </w:rPr>
      </w:pPr>
      <w:r>
        <w:rPr>
          <w:rFonts w:hint="eastAsia" w:ascii="仿宋" w:hAnsi="仿宋" w:eastAsia="仿宋"/>
          <w:b/>
        </w:rPr>
        <w:t>政府推动，市场运作。</w:t>
      </w:r>
      <w:r>
        <w:rPr>
          <w:rFonts w:hint="eastAsia" w:ascii="仿宋" w:hAnsi="仿宋" w:eastAsia="仿宋"/>
        </w:rPr>
        <w:t>遵循数字经济发展规律，通过完善体制机制、优化发展环境、综合运用各种政策来引导资源配置。依靠市场配置资源的能力，促进生产要素合理流动和专业化分工，最大限度激发民营经济市场主体创新创业活力，创建公平的市场环境，增强产业可持续发展能力。</w:t>
      </w:r>
    </w:p>
    <w:p>
      <w:pPr>
        <w:pStyle w:val="29"/>
        <w:spacing w:line="560" w:lineRule="exact"/>
        <w:rPr>
          <w:rFonts w:ascii="仿宋" w:hAnsi="仿宋" w:eastAsia="仿宋"/>
        </w:rPr>
      </w:pPr>
      <w:r>
        <w:rPr>
          <w:rFonts w:hint="eastAsia" w:ascii="仿宋" w:hAnsi="仿宋" w:eastAsia="仿宋"/>
          <w:b/>
        </w:rPr>
        <w:t>创新引领，融合发展。</w:t>
      </w:r>
      <w:r>
        <w:rPr>
          <w:rFonts w:hint="eastAsia" w:ascii="仿宋" w:hAnsi="仿宋" w:eastAsia="仿宋"/>
        </w:rPr>
        <w:t>坚持创新是第一动力的理念，加快推动技术、模式、业态和制度协同创新，为高质量发展提供内在动力。深入推进数字技术与经济社会各领域全面融合，构建数字化融合场景供给多元态势，以场景应用为抓手，完善融合发展生态体系，创造高品质生活，实现高效能治理。</w:t>
      </w:r>
    </w:p>
    <w:p>
      <w:pPr>
        <w:pStyle w:val="29"/>
        <w:spacing w:line="560" w:lineRule="exact"/>
        <w:rPr>
          <w:rFonts w:ascii="仿宋" w:hAnsi="仿宋" w:eastAsia="仿宋"/>
        </w:rPr>
      </w:pPr>
      <w:r>
        <w:rPr>
          <w:rFonts w:hint="eastAsia" w:ascii="仿宋" w:hAnsi="仿宋" w:eastAsia="仿宋"/>
          <w:b/>
        </w:rPr>
        <w:t>立足基础，重点突破。</w:t>
      </w:r>
      <w:r>
        <w:rPr>
          <w:rFonts w:hint="eastAsia" w:ascii="仿宋" w:hAnsi="仿宋" w:eastAsia="仿宋"/>
        </w:rPr>
        <w:t>立足乐清市产业基础，结合本地发展重点领域，加大政策扶持力度，推动与本地产业相关的应用企业落地。按照产业链延伸的方式，完善产业布局，集中优势资源，实现产业链关键领域重点突破，积极向数字产业应用和基础设施、数据服务等领域延伸发展。</w:t>
      </w:r>
    </w:p>
    <w:p>
      <w:pPr>
        <w:pStyle w:val="29"/>
        <w:spacing w:line="560" w:lineRule="exact"/>
        <w:rPr>
          <w:rFonts w:ascii="仿宋" w:hAnsi="仿宋" w:eastAsia="仿宋"/>
        </w:rPr>
      </w:pPr>
      <w:r>
        <w:rPr>
          <w:rFonts w:hint="eastAsia" w:ascii="仿宋" w:hAnsi="仿宋" w:eastAsia="仿宋"/>
          <w:b/>
        </w:rPr>
        <w:t>开放合作，安全有序。</w:t>
      </w:r>
      <w:r>
        <w:rPr>
          <w:rFonts w:hint="eastAsia" w:ascii="仿宋" w:hAnsi="仿宋" w:eastAsia="仿宋"/>
        </w:rPr>
        <w:t>着力构建开放型经济新体系，强化产业对外合作，提升企业资源配置能力，增强产业核心竞争力。统筹发展和安全，建立包容审慎的监管制度，保障数据和网络信息安全，确保数字经济发展安全可控、规范有序。</w:t>
      </w:r>
    </w:p>
    <w:p>
      <w:pPr>
        <w:pStyle w:val="4"/>
        <w:spacing w:before="156" w:beforeLines="50" w:after="156" w:afterLines="50" w:line="560" w:lineRule="exact"/>
        <w:rPr>
          <w:rFonts w:hint="eastAsia" w:ascii="楷体" w:hAnsi="楷体" w:eastAsia="楷体" w:cs="楷体"/>
        </w:rPr>
      </w:pPr>
      <w:bookmarkStart w:id="67" w:name="_Toc30135"/>
      <w:r>
        <w:rPr>
          <w:rFonts w:hint="eastAsia" w:ascii="楷体" w:hAnsi="楷体" w:eastAsia="楷体" w:cs="楷体"/>
        </w:rPr>
        <w:t>（三）发展定位</w:t>
      </w:r>
      <w:bookmarkEnd w:id="67"/>
    </w:p>
    <w:p>
      <w:pPr>
        <w:pStyle w:val="29"/>
        <w:spacing w:line="560" w:lineRule="exact"/>
        <w:rPr>
          <w:rFonts w:ascii="仿宋" w:hAnsi="仿宋" w:eastAsia="仿宋"/>
        </w:rPr>
      </w:pPr>
      <w:r>
        <w:rPr>
          <w:rFonts w:hint="eastAsia" w:ascii="仿宋" w:hAnsi="仿宋" w:eastAsia="仿宋"/>
          <w:b/>
        </w:rPr>
        <w:t>全省产业数字化赋能示范区。</w:t>
      </w:r>
      <w:r>
        <w:rPr>
          <w:rFonts w:hint="eastAsia" w:ascii="仿宋" w:hAnsi="仿宋" w:eastAsia="仿宋"/>
        </w:rPr>
        <w:t>以打造国家先进制造业集群为契机，率先构建以“产业大脑+未来工厂”为引领的新智造体系，成为全省以数字赋能驱动制造业高质量发展的智造典范，推进物联网、大数据、人工智能等数字技术与农业、服务业的深度融合，实体经济网络化、数字化、智能化转型成效明显。</w:t>
      </w:r>
    </w:p>
    <w:p>
      <w:pPr>
        <w:pStyle w:val="29"/>
        <w:spacing w:line="560" w:lineRule="exact"/>
        <w:rPr>
          <w:rFonts w:ascii="仿宋" w:hAnsi="仿宋" w:eastAsia="仿宋"/>
        </w:rPr>
      </w:pPr>
      <w:r>
        <w:rPr>
          <w:rFonts w:hint="eastAsia" w:ascii="仿宋" w:hAnsi="仿宋" w:eastAsia="仿宋"/>
          <w:b/>
        </w:rPr>
        <w:t>全省数字产业化创新引领区。</w:t>
      </w:r>
      <w:r>
        <w:rPr>
          <w:rFonts w:hint="eastAsia" w:ascii="仿宋" w:hAnsi="仿宋" w:eastAsia="仿宋"/>
        </w:rPr>
        <w:t>坚持内培外引双轮驱动，有效汇聚创新要素资源，突破一批数字经济重点领域关键核心技术，壮大一批优势产业，培育一批龙头领军企业，打造一批数字经济技术创新中心和研发机构，建设一批专业数字化园区，打造全省具有影响力的数字技术创新高地。</w:t>
      </w:r>
    </w:p>
    <w:p>
      <w:pPr>
        <w:pStyle w:val="29"/>
        <w:spacing w:line="560" w:lineRule="exact"/>
        <w:rPr>
          <w:rFonts w:ascii="仿宋" w:hAnsi="仿宋" w:eastAsia="仿宋"/>
        </w:rPr>
      </w:pPr>
      <w:r>
        <w:rPr>
          <w:rFonts w:hint="eastAsia" w:ascii="仿宋" w:hAnsi="仿宋" w:eastAsia="仿宋"/>
          <w:b/>
        </w:rPr>
        <w:t>全省治理数字化融合标杆区。</w:t>
      </w:r>
      <w:r>
        <w:rPr>
          <w:rFonts w:hint="eastAsia" w:ascii="仿宋" w:hAnsi="仿宋" w:eastAsia="仿宋"/>
        </w:rPr>
        <w:t>充分发挥数字技术发展对政府管理和社会治理方式变革的推动作用，加快提升政务服务数字化水平，提升数字化监管水平，高水平建设新型数字城市，为加快推进政府治理体系和治理能力贡献乐清智慧。</w:t>
      </w:r>
    </w:p>
    <w:p>
      <w:pPr>
        <w:pStyle w:val="29"/>
        <w:spacing w:line="560" w:lineRule="exact"/>
        <w:rPr>
          <w:rFonts w:ascii="仿宋" w:hAnsi="仿宋" w:eastAsia="仿宋"/>
        </w:rPr>
      </w:pPr>
      <w:r>
        <w:rPr>
          <w:rFonts w:hint="eastAsia" w:ascii="仿宋" w:hAnsi="仿宋" w:eastAsia="仿宋"/>
          <w:b/>
        </w:rPr>
        <w:t>全省数字化基建枢纽新高地。</w:t>
      </w:r>
      <w:r>
        <w:rPr>
          <w:rFonts w:hint="eastAsia" w:ascii="仿宋" w:hAnsi="仿宋" w:eastAsia="仿宋"/>
        </w:rPr>
        <w:t>加快新型数字基础设施建设，鼓励社会资本建设绿色互联网数据中心，部署工业互联网、边缘计算等新型数字基础设施，建成立足温州，辐射浙南地区的数据枢纽中心，区域数据资源体系基本建成。</w:t>
      </w:r>
    </w:p>
    <w:p>
      <w:pPr>
        <w:pStyle w:val="4"/>
        <w:spacing w:before="156" w:beforeLines="50" w:after="156" w:afterLines="50" w:line="560" w:lineRule="exact"/>
        <w:rPr>
          <w:rFonts w:hint="eastAsia" w:ascii="楷体" w:hAnsi="楷体" w:eastAsia="楷体" w:cs="楷体"/>
        </w:rPr>
      </w:pPr>
      <w:bookmarkStart w:id="68" w:name="_Toc14657"/>
      <w:r>
        <w:rPr>
          <w:rFonts w:hint="eastAsia" w:ascii="楷体" w:hAnsi="楷体" w:eastAsia="楷体" w:cs="楷体"/>
        </w:rPr>
        <w:t>（四）发展目标</w:t>
      </w:r>
      <w:bookmarkEnd w:id="68"/>
    </w:p>
    <w:p>
      <w:pPr>
        <w:pStyle w:val="29"/>
        <w:spacing w:line="560" w:lineRule="exact"/>
        <w:ind w:firstLine="640"/>
        <w:rPr>
          <w:rFonts w:ascii="仿宋" w:hAnsi="仿宋" w:eastAsia="仿宋"/>
        </w:rPr>
      </w:pPr>
      <w:r>
        <w:rPr>
          <w:rFonts w:hint="eastAsia" w:ascii="仿宋" w:hAnsi="仿宋" w:eastAsia="仿宋"/>
        </w:rPr>
        <w:t>到</w:t>
      </w:r>
      <w:r>
        <w:rPr>
          <w:rFonts w:ascii="仿宋" w:hAnsi="仿宋" w:eastAsia="仿宋"/>
        </w:rPr>
        <w:t>2025</w:t>
      </w:r>
      <w:r>
        <w:rPr>
          <w:rFonts w:hint="eastAsia" w:ascii="仿宋" w:hAnsi="仿宋" w:eastAsia="仿宋"/>
        </w:rPr>
        <w:t>年，将乐清建成总体规模全省领先，产业体系特色鲜明、融合发展成效显著、数字创新生态健全的三区一高地。</w:t>
      </w:r>
    </w:p>
    <w:p>
      <w:pPr>
        <w:pStyle w:val="29"/>
        <w:spacing w:line="560" w:lineRule="exact"/>
        <w:rPr>
          <w:rFonts w:ascii="仿宋" w:hAnsi="仿宋" w:eastAsia="仿宋"/>
        </w:rPr>
      </w:pPr>
      <w:r>
        <w:rPr>
          <w:rFonts w:hint="eastAsia" w:ascii="仿宋" w:hAnsi="仿宋" w:eastAsia="仿宋"/>
          <w:b/>
        </w:rPr>
        <w:t>——数字产业能级实现新跨越。</w:t>
      </w:r>
      <w:r>
        <w:rPr>
          <w:rFonts w:hint="eastAsia" w:ascii="仿宋" w:hAnsi="仿宋" w:eastAsia="仿宋"/>
        </w:rPr>
        <w:t>数字产业规模稳步增长，规模以上电子信息制造业增加值超过120亿元，软件和信息服务业规模力争达到50亿元，物联网等产业集群达到省内先进水平，建成一批国家级、省级数字科技创新载体，培育20具有较强影响力的数字经济头部企业。</w:t>
      </w:r>
    </w:p>
    <w:p>
      <w:pPr>
        <w:pStyle w:val="29"/>
        <w:spacing w:line="560" w:lineRule="exact"/>
        <w:rPr>
          <w:rFonts w:ascii="仿宋" w:hAnsi="仿宋" w:eastAsia="仿宋"/>
        </w:rPr>
      </w:pPr>
      <w:r>
        <w:rPr>
          <w:rFonts w:hint="eastAsia" w:ascii="仿宋" w:hAnsi="仿宋" w:eastAsia="仿宋"/>
          <w:b/>
        </w:rPr>
        <w:t>——产业数字化转型实现新突破。</w:t>
      </w:r>
      <w:r>
        <w:rPr>
          <w:rFonts w:hint="eastAsia" w:ascii="仿宋" w:hAnsi="仿宋" w:eastAsia="仿宋"/>
        </w:rPr>
        <w:t>建成20家省级未来工厂、数字化车间和智能工厂，打造一批重点工业互联网平台，“乐清制造”进一步向“乐清智造”转变，数字技术在一二三产业中实现深度融合应用，数字化转型推进绿色化发展，助力实现碳达峰碳中和目标。</w:t>
      </w:r>
    </w:p>
    <w:p>
      <w:pPr>
        <w:pStyle w:val="29"/>
        <w:spacing w:line="560" w:lineRule="exact"/>
        <w:rPr>
          <w:rFonts w:ascii="仿宋" w:hAnsi="仿宋" w:eastAsia="仿宋"/>
        </w:rPr>
      </w:pPr>
      <w:r>
        <w:rPr>
          <w:rFonts w:hint="eastAsia" w:ascii="仿宋" w:hAnsi="仿宋" w:eastAsia="仿宋"/>
          <w:b/>
        </w:rPr>
        <w:t>——数字化现代治理实现新成效。</w:t>
      </w:r>
      <w:r>
        <w:rPr>
          <w:rFonts w:hint="eastAsia" w:ascii="仿宋" w:hAnsi="仿宋" w:eastAsia="仿宋"/>
        </w:rPr>
        <w:t>数据资源在政府治理、民生服务方面应用效果显著，</w:t>
      </w:r>
      <w:r>
        <w:rPr>
          <w:rFonts w:hint="eastAsia" w:ascii="仿宋" w:hAnsi="仿宋" w:eastAsia="仿宋" w:cs="宋体"/>
          <w:color w:val="000000"/>
          <w:kern w:val="0"/>
          <w:szCs w:val="21"/>
        </w:rPr>
        <w:t>建成3个以上具有乐清辨识度和影响力的标志性多跨场景应用，基本建成“整体智治、唯实惟先”的现代政府。</w:t>
      </w:r>
    </w:p>
    <w:p>
      <w:pPr>
        <w:pStyle w:val="29"/>
        <w:spacing w:line="560" w:lineRule="exact"/>
        <w:rPr>
          <w:rFonts w:ascii="仿宋" w:hAnsi="仿宋" w:eastAsia="仿宋"/>
        </w:rPr>
      </w:pPr>
      <w:r>
        <w:rPr>
          <w:rFonts w:hint="eastAsia" w:ascii="仿宋" w:hAnsi="仿宋" w:eastAsia="仿宋"/>
          <w:b/>
        </w:rPr>
        <w:t>——数字基础设施实现新跃升。</w:t>
      </w:r>
      <w:r>
        <w:rPr>
          <w:rFonts w:hint="eastAsia" w:ascii="仿宋" w:hAnsi="仿宋" w:eastAsia="仿宋"/>
        </w:rPr>
        <w:t>通信网络基础设施不断完善，双千兆宽带网络接入能力大幅提升，布局合理、融合高效、绿色节能的新基建初步形成，新技术基础设施部署水平达到省内一流，传统基础设施智能高效。</w:t>
      </w:r>
    </w:p>
    <w:p>
      <w:pPr>
        <w:spacing w:line="560" w:lineRule="exact"/>
        <w:jc w:val="center"/>
        <w:rPr>
          <w:rFonts w:hint="eastAsia" w:ascii="黑体" w:hAnsi="黑体" w:eastAsia="黑体" w:cs="黑体"/>
          <w:sz w:val="32"/>
          <w:szCs w:val="32"/>
        </w:rPr>
      </w:pPr>
      <w:r>
        <w:rPr>
          <w:rFonts w:hint="eastAsia" w:ascii="黑体" w:hAnsi="黑体" w:eastAsia="黑体" w:cs="黑体"/>
          <w:sz w:val="28"/>
          <w:szCs w:val="28"/>
        </w:rPr>
        <w:t>表  乐清市“十四五”时期数字经济发展主要目标</w:t>
      </w:r>
    </w:p>
    <w:tbl>
      <w:tblPr>
        <w:tblStyle w:val="22"/>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050"/>
        <w:gridCol w:w="1107"/>
        <w:gridCol w:w="114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775" w:type="dxa"/>
            <w:vAlign w:val="center"/>
          </w:tcPr>
          <w:p>
            <w:pPr>
              <w:widowControl/>
              <w:jc w:val="center"/>
              <w:rPr>
                <w:rFonts w:hint="eastAsia" w:ascii="黑体" w:hAnsi="黑体" w:eastAsia="黑体" w:cs="黑体"/>
                <w:b/>
                <w:bCs/>
                <w:sz w:val="24"/>
                <w:szCs w:val="24"/>
              </w:rPr>
            </w:pPr>
          </w:p>
        </w:tc>
        <w:tc>
          <w:tcPr>
            <w:tcW w:w="4050" w:type="dxa"/>
            <w:vAlign w:val="center"/>
          </w:tcPr>
          <w:p>
            <w:pPr>
              <w:widowControl/>
              <w:jc w:val="center"/>
              <w:rPr>
                <w:rFonts w:hint="eastAsia" w:ascii="黑体" w:hAnsi="黑体" w:eastAsia="黑体" w:cs="黑体"/>
                <w:sz w:val="24"/>
                <w:szCs w:val="24"/>
              </w:rPr>
            </w:pPr>
            <w:r>
              <w:rPr>
                <w:rFonts w:hint="eastAsia" w:ascii="黑体" w:hAnsi="黑体" w:eastAsia="黑体" w:cs="黑体"/>
                <w:sz w:val="24"/>
                <w:szCs w:val="24"/>
              </w:rPr>
              <w:t>指标</w:t>
            </w:r>
          </w:p>
        </w:tc>
        <w:tc>
          <w:tcPr>
            <w:tcW w:w="1107" w:type="dxa"/>
            <w:vAlign w:val="center"/>
          </w:tcPr>
          <w:p>
            <w:pPr>
              <w:widowControl/>
              <w:jc w:val="center"/>
              <w:rPr>
                <w:rFonts w:hint="eastAsia" w:ascii="黑体" w:hAnsi="黑体" w:eastAsia="黑体" w:cs="黑体"/>
                <w:sz w:val="24"/>
                <w:szCs w:val="24"/>
              </w:rPr>
            </w:pPr>
            <w:r>
              <w:rPr>
                <w:rFonts w:hint="eastAsia" w:ascii="黑体" w:hAnsi="黑体" w:eastAsia="黑体" w:cs="黑体"/>
                <w:sz w:val="24"/>
                <w:szCs w:val="24"/>
              </w:rPr>
              <w:t>单位</w:t>
            </w:r>
          </w:p>
        </w:tc>
        <w:tc>
          <w:tcPr>
            <w:tcW w:w="1147" w:type="dxa"/>
            <w:vAlign w:val="center"/>
          </w:tcPr>
          <w:p>
            <w:pPr>
              <w:widowControl/>
              <w:jc w:val="center"/>
              <w:rPr>
                <w:rFonts w:hint="eastAsia" w:ascii="黑体" w:hAnsi="黑体" w:eastAsia="黑体" w:cs="黑体"/>
                <w:sz w:val="24"/>
                <w:szCs w:val="24"/>
              </w:rPr>
            </w:pPr>
            <w:r>
              <w:rPr>
                <w:rFonts w:hint="eastAsia" w:ascii="黑体" w:hAnsi="黑体" w:eastAsia="黑体" w:cs="黑体"/>
                <w:sz w:val="24"/>
                <w:szCs w:val="24"/>
              </w:rPr>
              <w:t>2020年</w:t>
            </w:r>
          </w:p>
          <w:p>
            <w:pPr>
              <w:widowControl/>
              <w:jc w:val="center"/>
              <w:rPr>
                <w:rFonts w:hint="eastAsia" w:ascii="黑体" w:hAnsi="黑体" w:eastAsia="黑体" w:cs="黑体"/>
                <w:sz w:val="24"/>
                <w:szCs w:val="24"/>
              </w:rPr>
            </w:pPr>
            <w:r>
              <w:rPr>
                <w:rFonts w:hint="eastAsia" w:ascii="黑体" w:hAnsi="黑体" w:eastAsia="黑体" w:cs="黑体"/>
                <w:sz w:val="24"/>
                <w:szCs w:val="24"/>
              </w:rPr>
              <w:t>基数</w:t>
            </w:r>
          </w:p>
        </w:tc>
        <w:tc>
          <w:tcPr>
            <w:tcW w:w="1414" w:type="dxa"/>
            <w:vAlign w:val="center"/>
          </w:tcPr>
          <w:p>
            <w:pPr>
              <w:widowControl/>
              <w:jc w:val="center"/>
              <w:rPr>
                <w:rFonts w:hint="eastAsia" w:ascii="黑体" w:hAnsi="黑体" w:eastAsia="黑体" w:cs="黑体"/>
                <w:sz w:val="24"/>
                <w:szCs w:val="24"/>
              </w:rPr>
            </w:pPr>
            <w:r>
              <w:rPr>
                <w:rFonts w:hint="eastAsia" w:ascii="黑体" w:hAnsi="黑体" w:eastAsia="黑体" w:cs="黑体"/>
                <w:sz w:val="24"/>
                <w:szCs w:val="24"/>
              </w:rPr>
              <w:t>2025年</w:t>
            </w:r>
          </w:p>
          <w:p>
            <w:pPr>
              <w:widowControl/>
              <w:jc w:val="center"/>
              <w:rPr>
                <w:rFonts w:hint="eastAsia" w:ascii="黑体" w:hAnsi="黑体" w:eastAsia="黑体" w:cs="黑体"/>
                <w:sz w:val="24"/>
                <w:szCs w:val="24"/>
              </w:rPr>
            </w:pPr>
            <w:r>
              <w:rPr>
                <w:rFonts w:hint="eastAsia" w:ascii="黑体" w:hAnsi="黑体" w:eastAsia="黑体" w:cs="黑体"/>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775" w:type="dxa"/>
            <w:vMerge w:val="restart"/>
            <w:vAlign w:val="center"/>
          </w:tcPr>
          <w:p>
            <w:pPr>
              <w:widowControl/>
              <w:jc w:val="center"/>
              <w:rPr>
                <w:rFonts w:ascii="仿宋" w:hAnsi="仿宋" w:eastAsia="仿宋" w:cs="黑体"/>
                <w:sz w:val="24"/>
                <w:szCs w:val="24"/>
              </w:rPr>
            </w:pPr>
            <w:r>
              <w:rPr>
                <w:rFonts w:hint="eastAsia" w:ascii="仿宋" w:hAnsi="仿宋" w:eastAsia="仿宋" w:cs="黑体"/>
                <w:sz w:val="24"/>
                <w:szCs w:val="24"/>
              </w:rPr>
              <w:t>科技创新</w:t>
            </w: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规上数字经济核心产业研究与试验发展（R&amp;D）经费支出占增加值比重数字经济核心产业R&amp;D经费相当于营业收入比重</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2.7</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3.2（R&amp;D占GDP比重）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数字经济领域有效发明专利</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件</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1406（每万人拥有数字经济专利10.7，户籍人口131.49万）</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color w:val="FF0000"/>
                <w:sz w:val="24"/>
                <w:szCs w:val="24"/>
              </w:rPr>
              <w:t>数字经济国家高新技术企业</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家</w:t>
            </w:r>
          </w:p>
        </w:tc>
        <w:tc>
          <w:tcPr>
            <w:tcW w:w="1147" w:type="dxa"/>
            <w:vAlign w:val="center"/>
          </w:tcPr>
          <w:p>
            <w:pPr>
              <w:widowControl/>
              <w:jc w:val="center"/>
              <w:rPr>
                <w:rFonts w:ascii="仿宋" w:hAnsi="仿宋" w:eastAsia="仿宋" w:cs="仿宋"/>
                <w:sz w:val="24"/>
                <w:szCs w:val="24"/>
              </w:rPr>
            </w:pPr>
          </w:p>
        </w:tc>
        <w:tc>
          <w:tcPr>
            <w:tcW w:w="1414" w:type="dxa"/>
            <w:vAlign w:val="center"/>
          </w:tcPr>
          <w:p>
            <w:pPr>
              <w:widowControl/>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restart"/>
            <w:shd w:val="clear" w:color="auto" w:fill="auto"/>
            <w:vAlign w:val="center"/>
          </w:tcPr>
          <w:p>
            <w:pPr>
              <w:widowControl/>
              <w:jc w:val="center"/>
              <w:rPr>
                <w:rFonts w:ascii="仿宋" w:hAnsi="仿宋" w:eastAsia="仿宋" w:cs="黑体"/>
                <w:sz w:val="24"/>
                <w:szCs w:val="24"/>
              </w:rPr>
            </w:pPr>
            <w:r>
              <w:rPr>
                <w:rFonts w:hint="eastAsia" w:ascii="仿宋" w:hAnsi="仿宋" w:eastAsia="仿宋" w:cs="黑体"/>
                <w:sz w:val="24"/>
                <w:szCs w:val="24"/>
              </w:rPr>
              <w:t>数字产业化</w:t>
            </w:r>
          </w:p>
        </w:tc>
        <w:tc>
          <w:tcPr>
            <w:tcW w:w="4050" w:type="dxa"/>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数字经济核心产业增加值</w:t>
            </w:r>
          </w:p>
        </w:tc>
        <w:tc>
          <w:tcPr>
            <w:tcW w:w="1107" w:type="dxa"/>
            <w:noWrap/>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亿元</w:t>
            </w:r>
          </w:p>
        </w:tc>
        <w:tc>
          <w:tcPr>
            <w:tcW w:w="1147" w:type="dxa"/>
            <w:noWrap/>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162.7</w:t>
            </w:r>
          </w:p>
        </w:tc>
        <w:tc>
          <w:tcPr>
            <w:tcW w:w="1414" w:type="dxa"/>
            <w:noWrap/>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shd w:val="clear" w:color="auto" w:fill="auto"/>
            <w:vAlign w:val="center"/>
          </w:tcPr>
          <w:p>
            <w:pPr>
              <w:widowControl/>
              <w:jc w:val="center"/>
              <w:rPr>
                <w:rFonts w:ascii="仿宋" w:hAnsi="仿宋" w:eastAsia="仿宋" w:cs="黑体"/>
                <w:sz w:val="24"/>
                <w:szCs w:val="24"/>
              </w:rPr>
            </w:pPr>
          </w:p>
        </w:tc>
        <w:tc>
          <w:tcPr>
            <w:tcW w:w="4050" w:type="dxa"/>
            <w:shd w:val="clear" w:color="auto" w:fill="auto"/>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数字经济核心产业增加值占GDP比重</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12.5</w:t>
            </w:r>
          </w:p>
        </w:tc>
        <w:tc>
          <w:tcPr>
            <w:tcW w:w="1414" w:type="dxa"/>
            <w:noWrap/>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shd w:val="clear" w:color="auto" w:fill="auto"/>
            <w:vAlign w:val="center"/>
          </w:tcPr>
          <w:p>
            <w:pPr>
              <w:widowControl/>
              <w:jc w:val="center"/>
              <w:rPr>
                <w:rFonts w:ascii="仿宋" w:hAnsi="仿宋" w:eastAsia="仿宋" w:cs="黑体"/>
                <w:sz w:val="24"/>
                <w:szCs w:val="24"/>
              </w:rPr>
            </w:pPr>
          </w:p>
        </w:tc>
        <w:tc>
          <w:tcPr>
            <w:tcW w:w="4050" w:type="dxa"/>
            <w:shd w:val="clear" w:color="auto" w:fill="auto"/>
            <w:vAlign w:val="center"/>
          </w:tcPr>
          <w:p>
            <w:pPr>
              <w:widowControl/>
              <w:jc w:val="left"/>
              <w:rPr>
                <w:rFonts w:ascii="仿宋" w:hAnsi="仿宋" w:eastAsia="仿宋" w:cs="仿宋"/>
                <w:color w:val="FF0000"/>
                <w:sz w:val="24"/>
                <w:szCs w:val="24"/>
              </w:rPr>
            </w:pPr>
            <w:r>
              <w:rPr>
                <w:rFonts w:hint="eastAsia" w:ascii="仿宋" w:hAnsi="仿宋" w:eastAsia="仿宋" w:cs="仿宋"/>
                <w:color w:val="FF0000"/>
                <w:sz w:val="24"/>
                <w:szCs w:val="24"/>
              </w:rPr>
              <w:t>软件和信息技术服务业业务收入</w:t>
            </w:r>
          </w:p>
        </w:tc>
        <w:tc>
          <w:tcPr>
            <w:tcW w:w="1107" w:type="dxa"/>
            <w:vAlign w:val="center"/>
          </w:tcPr>
          <w:p>
            <w:pPr>
              <w:widowControl/>
              <w:jc w:val="center"/>
              <w:rPr>
                <w:rFonts w:ascii="仿宋" w:hAnsi="仿宋" w:eastAsia="仿宋" w:cs="仿宋"/>
                <w:color w:val="FF0000"/>
                <w:sz w:val="24"/>
                <w:szCs w:val="24"/>
              </w:rPr>
            </w:pPr>
            <w:r>
              <w:rPr>
                <w:rFonts w:hint="eastAsia" w:ascii="仿宋" w:hAnsi="仿宋" w:eastAsia="仿宋" w:cs="仿宋"/>
                <w:color w:val="FF0000"/>
                <w:sz w:val="24"/>
                <w:szCs w:val="24"/>
              </w:rPr>
              <w:t>亿元</w:t>
            </w:r>
          </w:p>
        </w:tc>
        <w:tc>
          <w:tcPr>
            <w:tcW w:w="1147" w:type="dxa"/>
            <w:vAlign w:val="center"/>
          </w:tcPr>
          <w:p>
            <w:pPr>
              <w:widowControl/>
              <w:jc w:val="center"/>
              <w:rPr>
                <w:rFonts w:ascii="仿宋" w:hAnsi="仿宋" w:eastAsia="仿宋" w:cs="仿宋"/>
                <w:color w:val="FF0000"/>
                <w:sz w:val="24"/>
                <w:szCs w:val="24"/>
              </w:rPr>
            </w:pP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restart"/>
            <w:shd w:val="clear" w:color="auto" w:fill="auto"/>
            <w:vAlign w:val="center"/>
          </w:tcPr>
          <w:p>
            <w:pPr>
              <w:widowControl/>
              <w:jc w:val="center"/>
              <w:rPr>
                <w:rFonts w:ascii="仿宋" w:hAnsi="仿宋" w:eastAsia="仿宋" w:cs="黑体"/>
                <w:sz w:val="24"/>
                <w:szCs w:val="24"/>
              </w:rPr>
            </w:pPr>
            <w:r>
              <w:rPr>
                <w:rFonts w:hint="eastAsia" w:ascii="仿宋" w:hAnsi="仿宋" w:eastAsia="仿宋" w:cs="黑体"/>
                <w:sz w:val="24"/>
                <w:szCs w:val="24"/>
              </w:rPr>
              <w:t>产业数字化</w:t>
            </w:r>
          </w:p>
        </w:tc>
        <w:tc>
          <w:tcPr>
            <w:tcW w:w="4050"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全社会全员劳动生产率</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万元/人</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16.8</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未来工厂、智能工厂（数字化车间）</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家（个）</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9</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重点工业企业设备联网率</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49</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55（温州平均）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网络零售额</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亿元</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235.9</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跨境网络零售出口额</w:t>
            </w:r>
          </w:p>
        </w:tc>
        <w:tc>
          <w:tcPr>
            <w:tcW w:w="110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亿元</w:t>
            </w:r>
          </w:p>
        </w:tc>
        <w:tc>
          <w:tcPr>
            <w:tcW w:w="114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0.87</w:t>
            </w:r>
          </w:p>
        </w:tc>
        <w:tc>
          <w:tcPr>
            <w:tcW w:w="1414"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restart"/>
            <w:vAlign w:val="center"/>
          </w:tcPr>
          <w:p>
            <w:pPr>
              <w:widowControl/>
              <w:jc w:val="center"/>
              <w:rPr>
                <w:rFonts w:ascii="仿宋" w:hAnsi="仿宋" w:eastAsia="仿宋" w:cs="黑体"/>
                <w:sz w:val="24"/>
                <w:szCs w:val="24"/>
              </w:rPr>
            </w:pPr>
            <w:r>
              <w:rPr>
                <w:rFonts w:hint="eastAsia" w:ascii="仿宋" w:hAnsi="仿宋" w:eastAsia="仿宋" w:cs="黑体"/>
                <w:sz w:val="24"/>
                <w:szCs w:val="24"/>
              </w:rPr>
              <w:t>治理数字化</w:t>
            </w: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“掌上办公”比例</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80（全省平均）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依申请政务服务办件“一网通办”率</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80</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网络安全等级保护落实率</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90（全省平均）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黑体"/>
                <w:sz w:val="24"/>
                <w:szCs w:val="24"/>
              </w:rPr>
            </w:pP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公共数据开放率</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13（全省平均）</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30（全省平均）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restart"/>
            <w:vAlign w:val="center"/>
          </w:tcPr>
          <w:p>
            <w:pPr>
              <w:widowControl/>
              <w:jc w:val="center"/>
              <w:rPr>
                <w:rFonts w:ascii="仿宋" w:hAnsi="仿宋" w:eastAsia="仿宋" w:cs="黑体"/>
                <w:sz w:val="24"/>
                <w:szCs w:val="24"/>
              </w:rPr>
            </w:pPr>
            <w:r>
              <w:rPr>
                <w:rFonts w:hint="eastAsia" w:ascii="仿宋" w:hAnsi="仿宋" w:eastAsia="仿宋" w:cs="黑体"/>
                <w:sz w:val="24"/>
                <w:szCs w:val="24"/>
              </w:rPr>
              <w:t>数字基础设施</w:t>
            </w: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互联网普及率</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83（温州平均）</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宋体"/>
                <w:b/>
                <w:bCs/>
                <w:sz w:val="24"/>
                <w:szCs w:val="24"/>
              </w:rPr>
            </w:pPr>
          </w:p>
        </w:tc>
        <w:tc>
          <w:tcPr>
            <w:tcW w:w="4050" w:type="dxa"/>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5G基站数量</w:t>
            </w:r>
          </w:p>
        </w:tc>
        <w:tc>
          <w:tcPr>
            <w:tcW w:w="110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个</w:t>
            </w:r>
          </w:p>
        </w:tc>
        <w:tc>
          <w:tcPr>
            <w:tcW w:w="1147"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2074</w:t>
            </w:r>
          </w:p>
        </w:tc>
        <w:tc>
          <w:tcPr>
            <w:tcW w:w="1414"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5" w:type="dxa"/>
            <w:vMerge w:val="continue"/>
            <w:vAlign w:val="center"/>
          </w:tcPr>
          <w:p>
            <w:pPr>
              <w:widowControl/>
              <w:jc w:val="center"/>
              <w:rPr>
                <w:rFonts w:ascii="仿宋" w:hAnsi="仿宋" w:eastAsia="仿宋" w:cs="宋体"/>
                <w:b/>
                <w:bCs/>
                <w:sz w:val="24"/>
                <w:szCs w:val="24"/>
              </w:rPr>
            </w:pPr>
          </w:p>
        </w:tc>
        <w:tc>
          <w:tcPr>
            <w:tcW w:w="4050" w:type="dxa"/>
            <w:noWrap/>
            <w:vAlign w:val="center"/>
          </w:tcPr>
          <w:p>
            <w:pPr>
              <w:widowControl/>
              <w:jc w:val="left"/>
              <w:rPr>
                <w:rFonts w:ascii="仿宋" w:hAnsi="仿宋" w:eastAsia="仿宋" w:cs="仿宋"/>
                <w:color w:val="FF0000"/>
                <w:sz w:val="24"/>
                <w:szCs w:val="24"/>
              </w:rPr>
            </w:pPr>
            <w:r>
              <w:rPr>
                <w:rFonts w:hint="eastAsia" w:ascii="仿宋" w:hAnsi="仿宋" w:eastAsia="仿宋" w:cs="仿宋"/>
                <w:color w:val="FF0000"/>
                <w:sz w:val="24"/>
                <w:szCs w:val="24"/>
              </w:rPr>
              <w:t>数据中心总机架数</w:t>
            </w:r>
          </w:p>
        </w:tc>
        <w:tc>
          <w:tcPr>
            <w:tcW w:w="1107" w:type="dxa"/>
            <w:noWrap/>
            <w:vAlign w:val="center"/>
          </w:tcPr>
          <w:p>
            <w:pPr>
              <w:widowControl/>
              <w:jc w:val="center"/>
              <w:rPr>
                <w:rFonts w:ascii="仿宋" w:hAnsi="仿宋" w:eastAsia="仿宋" w:cs="仿宋"/>
                <w:color w:val="FF0000"/>
                <w:sz w:val="24"/>
                <w:szCs w:val="24"/>
              </w:rPr>
            </w:pPr>
            <w:r>
              <w:rPr>
                <w:rFonts w:hint="eastAsia" w:ascii="仿宋" w:hAnsi="仿宋" w:eastAsia="仿宋" w:cs="仿宋"/>
                <w:color w:val="FF0000"/>
                <w:sz w:val="24"/>
                <w:szCs w:val="24"/>
              </w:rPr>
              <w:t>个</w:t>
            </w:r>
          </w:p>
        </w:tc>
        <w:tc>
          <w:tcPr>
            <w:tcW w:w="1147" w:type="dxa"/>
            <w:noWrap/>
            <w:vAlign w:val="center"/>
          </w:tcPr>
          <w:p>
            <w:pPr>
              <w:widowControl/>
              <w:jc w:val="center"/>
              <w:rPr>
                <w:rFonts w:ascii="仿宋" w:hAnsi="仿宋" w:eastAsia="仿宋" w:cs="仿宋"/>
                <w:color w:val="FF0000"/>
                <w:sz w:val="24"/>
                <w:szCs w:val="24"/>
              </w:rPr>
            </w:pPr>
          </w:p>
        </w:tc>
        <w:tc>
          <w:tcPr>
            <w:tcW w:w="1414" w:type="dxa"/>
            <w:noWrap/>
            <w:vAlign w:val="center"/>
          </w:tcPr>
          <w:p>
            <w:pPr>
              <w:widowControl/>
              <w:jc w:val="center"/>
              <w:rPr>
                <w:rFonts w:ascii="仿宋" w:hAnsi="仿宋" w:eastAsia="仿宋" w:cs="仿宋"/>
                <w:sz w:val="24"/>
                <w:szCs w:val="24"/>
                <w:highlight w:val="yellow"/>
              </w:rPr>
            </w:pPr>
          </w:p>
        </w:tc>
      </w:tr>
    </w:tbl>
    <w:p>
      <w:pPr>
        <w:pStyle w:val="3"/>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rPr>
      </w:pPr>
      <w:bookmarkStart w:id="69" w:name="_Toc18600"/>
      <w:r>
        <w:rPr>
          <w:rFonts w:hint="eastAsia" w:ascii="黑体" w:hAnsi="黑体" w:eastAsia="黑体" w:cs="黑体"/>
        </w:rPr>
        <w:t>三、主要任务</w:t>
      </w:r>
      <w:bookmarkEnd w:id="69"/>
    </w:p>
    <w:p>
      <w:pPr>
        <w:pStyle w:val="4"/>
        <w:spacing w:before="156" w:beforeLines="50" w:after="156" w:afterLines="50" w:line="560" w:lineRule="exact"/>
        <w:rPr>
          <w:rFonts w:hint="eastAsia" w:ascii="楷体" w:hAnsi="楷体" w:eastAsia="楷体" w:cs="楷体"/>
        </w:rPr>
      </w:pPr>
      <w:bookmarkStart w:id="70" w:name="_Toc9298"/>
      <w:r>
        <w:rPr>
          <w:rFonts w:hint="eastAsia" w:ascii="楷体" w:hAnsi="楷体" w:eastAsia="楷体" w:cs="楷体"/>
        </w:rPr>
        <w:t>（一）数字产业化，提升壮大核心产业能级</w:t>
      </w:r>
      <w:bookmarkEnd w:id="70"/>
    </w:p>
    <w:p>
      <w:pPr>
        <w:pStyle w:val="5"/>
        <w:spacing w:before="156" w:beforeLines="50" w:after="156" w:afterLines="50" w:line="560" w:lineRule="exact"/>
        <w:rPr>
          <w:rFonts w:ascii="仿宋" w:hAnsi="仿宋" w:eastAsia="仿宋"/>
        </w:rPr>
      </w:pPr>
      <w:bookmarkStart w:id="71" w:name="_Toc27620"/>
      <w:r>
        <w:rPr>
          <w:rFonts w:hint="eastAsia" w:ascii="仿宋" w:hAnsi="仿宋" w:eastAsia="仿宋"/>
        </w:rPr>
        <w:t>1.打造特色数字产业集群</w:t>
      </w:r>
      <w:bookmarkEnd w:id="71"/>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（1）做大做强基础优势产业</w:t>
      </w:r>
    </w:p>
    <w:p>
      <w:pPr>
        <w:pStyle w:val="29"/>
        <w:spacing w:line="560" w:lineRule="exact"/>
        <w:ind w:firstLine="640"/>
        <w:rPr>
          <w:rFonts w:ascii="仿宋" w:hAnsi="仿宋" w:eastAsia="仿宋"/>
        </w:rPr>
      </w:pPr>
      <w:r>
        <w:rPr>
          <w:rFonts w:hint="eastAsia" w:ascii="仿宋" w:hAnsi="仿宋" w:eastAsia="仿宋"/>
        </w:rPr>
        <w:t>聚焦电子元器件、智能仪表和智能终端、物联网、嵌入式软件和信息服务等领域，加快实施一批重大工程，壮大一批骨干企业，完善产业链配套，补齐产业链短板，推动数字经济基础优势产业迈向价值链中高端。面向重点领域，大力突破一批市场需求大、质量性能差距大的电子元器件和智能终端。提升物联网自主研发生产能力，推进物联网集成创新和规模化应用，形成省内一流的物联网融合应用高地。提升发展嵌入式软件、工程软件、工业软件、自动化应用、电力应用等软件产业，拓展应用软件领域，开展工业软件和核心嵌入式软件等产品协同攻关适配，加大软硬件交互设计力度，向平台软件、基础软件领域延伸。</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22" w:type="dxa"/>
          </w:tcPr>
          <w:p>
            <w:pPr>
              <w:pStyle w:val="29"/>
              <w:spacing w:line="560" w:lineRule="exact"/>
              <w:ind w:firstLine="0" w:firstLineChars="0"/>
              <w:jc w:val="center"/>
              <w:rPr>
                <w:rFonts w:ascii="仿宋" w:hAnsi="仿宋" w:eastAsia="仿宋" w:cs="仿宋"/>
                <w:sz w:val="28"/>
                <w:szCs w:val="28"/>
              </w:rPr>
            </w:pPr>
            <w:r>
              <w:rPr>
                <w:rFonts w:hint="eastAsia" w:ascii="黑体" w:hAnsi="黑体" w:eastAsia="黑体" w:cs="黑体"/>
                <w:sz w:val="28"/>
                <w:szCs w:val="28"/>
              </w:rPr>
              <w:t>专栏1  基础优势产业提升工程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522" w:type="dxa"/>
          </w:tcPr>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电子元器件。</w:t>
            </w:r>
            <w:r>
              <w:rPr>
                <w:rFonts w:hint="eastAsia" w:ascii="仿宋" w:hAnsi="仿宋" w:eastAsia="仿宋" w:cs="仿宋"/>
                <w:sz w:val="28"/>
                <w:szCs w:val="28"/>
              </w:rPr>
              <w:t>聚焦电力半导体器件、电力微电子组件和高速连接器等领域，研制新一代整流管、电力晶闸管、电力晶体管、电力场效应器件、场控双极型复合器件、功率MOS场效应管、固态继电器模块、静电感应器件（SIT）等大功率电力电子器件。重点开发新一代面向新能源、数字新基建所需的低压控制与保护元件产品。推动连接器向高速、高频、高压、小型化、精密化发展，做精电力、家电、安防等连接器细分领域，做大航天、航空、电子、舰船等连接器高端领域。</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智能仪表和智能装备。</w:t>
            </w:r>
            <w:r>
              <w:rPr>
                <w:rFonts w:hint="eastAsia" w:ascii="仿宋" w:hAnsi="仿宋" w:eastAsia="仿宋" w:cs="仿宋"/>
                <w:sz w:val="28"/>
                <w:szCs w:val="28"/>
              </w:rPr>
              <w:t>依托龙头企业，开发新型智能家用电能表、用户信息采集电表等智能仪器仪表。重点发展以智慧用水、智慧燃气等为主的智能仪器仪表，以烟雾检测报警器、视频监控、智能门锁等为主的智能安防监控以及智能照明等领域，积极引培智能网关、电机电控、压缩机等相关核心零部件企业。瞄准数控机床与机器人的融合发展，物流与仓储自动化设备的市场需求，加快工业电气机器人与物流机器人的特色发展。</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物联网。</w:t>
            </w:r>
            <w:r>
              <w:rPr>
                <w:rFonts w:hint="eastAsia" w:ascii="仿宋" w:hAnsi="仿宋" w:eastAsia="仿宋" w:cs="仿宋"/>
                <w:sz w:val="28"/>
                <w:szCs w:val="28"/>
              </w:rPr>
              <w:t>加快MEMS传感器产品的研发设计，提升设计、制造、封装与集成、多传感器集成与数据融合及可靠性领域技术水平。研制新型高频化、大功率化、智能化和模块化的电力半导体模块，以及新型电力半导体集成组件，提升物联网模组、电子标签等设计能力，加大物联网模组、物联网网关、车载终端、北斗终端等典型物联网通信产品开发和产业化力度。</w:t>
            </w:r>
          </w:p>
          <w:p>
            <w:pPr>
              <w:pStyle w:val="29"/>
              <w:spacing w:line="560" w:lineRule="exact"/>
              <w:ind w:firstLine="562"/>
              <w:rPr>
                <w:rFonts w:ascii="仿宋" w:hAnsi="仿宋" w:eastAsia="仿宋" w:cs="仿宋"/>
                <w:b/>
                <w:bCs/>
                <w:color w:val="0000FF"/>
                <w:sz w:val="28"/>
                <w:szCs w:val="28"/>
              </w:rPr>
            </w:pPr>
            <w:r>
              <w:rPr>
                <w:rFonts w:hint="eastAsia" w:ascii="仿宋" w:hAnsi="仿宋" w:eastAsia="仿宋" w:cs="仿宋"/>
                <w:b/>
                <w:bCs/>
                <w:sz w:val="28"/>
                <w:szCs w:val="28"/>
              </w:rPr>
              <w:t>嵌入式软件和信息服务。</w:t>
            </w:r>
            <w:r>
              <w:rPr>
                <w:rFonts w:hint="eastAsia" w:ascii="仿宋" w:hAnsi="仿宋" w:eastAsia="仿宋" w:cs="仿宋"/>
                <w:sz w:val="28"/>
                <w:szCs w:val="28"/>
              </w:rPr>
              <w:t>围绕智能电力设备和电气基础件领域转型升级，结合中低压产品为主向高压特高压、智能电气产品的发展方向，重点推动变压器、互感器、高低压开关设备、输变电设备等领域的嵌入式软件开发，围绕智能电网、能源互联网、轨道交通电气、医疗器械与健康装备等领域，积极发展产业延伸的行业应用软件，推动企业从提供单一产品向提供综合解决方案，积极拓展增值服务，延伸产业链及产品价值链。</w:t>
            </w:r>
          </w:p>
        </w:tc>
      </w:tr>
    </w:tbl>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（2）做精做专新兴数字产业</w:t>
      </w:r>
    </w:p>
    <w:p>
      <w:pPr>
        <w:pStyle w:val="29"/>
        <w:spacing w:line="560" w:lineRule="exact"/>
        <w:ind w:firstLine="640"/>
        <w:rPr>
          <w:rFonts w:ascii="仿宋" w:hAnsi="仿宋" w:eastAsia="仿宋"/>
        </w:rPr>
      </w:pPr>
      <w:r>
        <w:rPr>
          <w:rFonts w:hint="eastAsia" w:ascii="仿宋" w:hAnsi="仿宋" w:eastAsia="仿宋"/>
        </w:rPr>
        <w:t>瞄准符合国家战略、产业前景广阔的细分领域，围绕集成电路、5G、云计算和大数据、新型显示等新兴产业，制定龙头企业招引计划，积极推动头部企业落地，加强政策扶持力度，以产业链为纽带，推动产业链上下游精准对接和资源要素集聚，发展一批潜力型数字企业。构建“硬件</w:t>
      </w:r>
      <w:r>
        <w:rPr>
          <w:rFonts w:hint="eastAsia" w:ascii="仿宋" w:hAnsi="仿宋" w:eastAsia="仿宋"/>
          <w:lang w:val="en-US" w:eastAsia="zh-CN"/>
        </w:rPr>
        <w:t>+</w:t>
      </w:r>
      <w:r>
        <w:rPr>
          <w:rFonts w:hint="eastAsia" w:ascii="仿宋" w:hAnsi="仿宋" w:eastAsia="仿宋"/>
        </w:rPr>
        <w:t>软件</w:t>
      </w:r>
      <w:r>
        <w:rPr>
          <w:rFonts w:hint="eastAsia" w:ascii="仿宋" w:hAnsi="仿宋" w:eastAsia="仿宋"/>
          <w:lang w:val="en-US" w:eastAsia="zh-CN"/>
        </w:rPr>
        <w:t>+</w:t>
      </w:r>
      <w:r>
        <w:rPr>
          <w:rFonts w:hint="eastAsia" w:ascii="仿宋" w:hAnsi="仿宋" w:eastAsia="仿宋"/>
        </w:rPr>
        <w:t>平台</w:t>
      </w:r>
      <w:r>
        <w:rPr>
          <w:rFonts w:hint="eastAsia" w:ascii="仿宋" w:hAnsi="仿宋" w:eastAsia="仿宋"/>
          <w:lang w:val="en-US" w:eastAsia="zh-CN"/>
        </w:rPr>
        <w:t>+</w:t>
      </w:r>
      <w:r>
        <w:rPr>
          <w:rFonts w:hint="eastAsia" w:ascii="仿宋" w:hAnsi="仿宋" w:eastAsia="仿宋"/>
        </w:rPr>
        <w:t>服务”产业生态，培育重点垂直领域关联产业，增强企业联合攻关、场景创新、应用验证和普及推广能力，推动发展一批融合性创新成果和行业解决方案。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22" w:type="dxa"/>
          </w:tcPr>
          <w:p>
            <w:pPr>
              <w:pStyle w:val="29"/>
              <w:spacing w:line="560" w:lineRule="exact"/>
              <w:ind w:firstLine="0" w:firstLineChars="0"/>
              <w:jc w:val="center"/>
              <w:rPr>
                <w:rFonts w:ascii="仿宋" w:hAnsi="仿宋" w:eastAsia="仿宋" w:cs="仿宋"/>
                <w:sz w:val="28"/>
                <w:szCs w:val="28"/>
              </w:rPr>
            </w:pPr>
            <w:r>
              <w:rPr>
                <w:rFonts w:hint="eastAsia" w:ascii="黑体" w:hAnsi="黑体" w:eastAsia="黑体" w:cs="黑体"/>
                <w:sz w:val="28"/>
                <w:szCs w:val="28"/>
              </w:rPr>
              <w:t>专栏2  新兴潜力产业培育工程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522" w:type="dxa"/>
          </w:tcPr>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集成电路。</w:t>
            </w:r>
            <w:r>
              <w:rPr>
                <w:rFonts w:hint="eastAsia" w:ascii="仿宋" w:hAnsi="仿宋" w:eastAsia="仿宋" w:cs="仿宋"/>
                <w:sz w:val="28"/>
                <w:szCs w:val="28"/>
              </w:rPr>
              <w:t>以培育市场需求大的集成电路产品为突破口，坚持“制造与设计”并举，依托和睿半导体、晶泰半导体、佳博科技等企业，大力发展集成电路封装和测试技术，广泛推广应用环保型制造新工艺、新材料，鼓励扶持集成电路设计与整机开发项目。依托夏兴电子、上豪电子等企业，培育发展集成介电层材料、表面处理等的集成电路线路板，提升电气智能化水平。重点发展以系统级芯片（SoC）为代表的集成电路设计业，完善EDA工具开发平台、产品设计验证测试平台；大力发展为通信、数码等整机产品配套的市场需求量大的各种专用集成电路。</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5G通讯高端产品。</w:t>
            </w:r>
            <w:r>
              <w:rPr>
                <w:rFonts w:hint="eastAsia" w:ascii="仿宋" w:hAnsi="仿宋" w:eastAsia="仿宋" w:cs="仿宋"/>
                <w:sz w:val="28"/>
                <w:szCs w:val="28"/>
              </w:rPr>
              <w:t>抢抓5G与IPv6加快布局机遇，积极对接电力、通讯等终端用户，推动5G技术、互联网和信息化技术融合应用。培育发展射频器件、5G用芯片、5G天线、PCB、光纤光缆等5G元器件，做强5G基站一站式智慧能源解决方案、数据中心机房配电系统应用方案、充电桩系统解决方案等系统集成与服务方案。</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云计算和大数据。</w:t>
            </w:r>
            <w:r>
              <w:rPr>
                <w:rFonts w:hint="eastAsia" w:ascii="仿宋" w:hAnsi="仿宋" w:eastAsia="仿宋" w:cs="仿宋"/>
                <w:sz w:val="28"/>
                <w:szCs w:val="28"/>
              </w:rPr>
              <w:t>围绕数据存储、分析、应用和终端产品制造等云计算大数据产业链环节，实施一批重大产业项目，积极对接国内外优势骨干企业战略布局，主动承接国家级和省级大数据项目。引进云服务龙头企业，建设全省云计算应用服务示范基地，加快推进云计算服务应用，夯实云计算产业基础，提升云计算服务能力。</w:t>
            </w:r>
          </w:p>
          <w:p>
            <w:pPr>
              <w:pStyle w:val="29"/>
              <w:spacing w:line="560" w:lineRule="exact"/>
              <w:ind w:firstLine="562"/>
              <w:rPr>
                <w:rFonts w:ascii="仿宋" w:hAnsi="仿宋" w:eastAsia="仿宋" w:cs="仿宋"/>
                <w:b/>
                <w:bCs/>
                <w:color w:val="0000FF"/>
                <w:sz w:val="28"/>
                <w:szCs w:val="28"/>
              </w:rPr>
            </w:pPr>
            <w:r>
              <w:rPr>
                <w:rFonts w:hint="eastAsia" w:ascii="仿宋" w:hAnsi="仿宋" w:eastAsia="仿宋" w:cs="仿宋"/>
                <w:b/>
                <w:bCs/>
                <w:sz w:val="28"/>
                <w:szCs w:val="28"/>
              </w:rPr>
              <w:t>新型显示。</w:t>
            </w:r>
            <w:r>
              <w:rPr>
                <w:rFonts w:hint="eastAsia" w:ascii="仿宋" w:hAnsi="仿宋" w:eastAsia="仿宋" w:cs="仿宋"/>
                <w:sz w:val="28"/>
                <w:szCs w:val="28"/>
              </w:rPr>
              <w:t>依托宝泰电子、韩宇光电等骨干企业，加快发展车载触控玻璃、医疗工控玻璃、背光源等，重点突破柔性、高分辨、高性价的OLED技术、3D显示技术等，培育发展光学膜材、新型中小尺寸面板等，谋划布局高精度掩模板、OLED显示、TFT-LCD面板等技术落地和产业化应用。</w:t>
            </w:r>
          </w:p>
        </w:tc>
      </w:tr>
    </w:tbl>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（3）积极前瞻布局未来产业</w:t>
      </w:r>
    </w:p>
    <w:p>
      <w:pPr>
        <w:pStyle w:val="29"/>
        <w:spacing w:line="560" w:lineRule="exact"/>
        <w:ind w:firstLine="640"/>
        <w:rPr>
          <w:rFonts w:ascii="仿宋" w:hAnsi="仿宋" w:eastAsia="仿宋"/>
        </w:rPr>
      </w:pPr>
      <w:r>
        <w:rPr>
          <w:rFonts w:hint="eastAsia" w:ascii="仿宋" w:hAnsi="仿宋" w:eastAsia="仿宋"/>
        </w:rPr>
        <w:t>围绕人工智能、区块链、量子通信、元宇宙等未来产业，积极承接前沿技术应用场景测试验证等自主创新重大项目，加快实现“点”上突破。鼓励企业开发面向人工智能应用的基础软硬件及系统解决方案，加强智能制造、医疗健康、社会治理等领域的人工智能应用，深度开发“人工智能+”应用场景，形成特色应用示范。大力发展BaaS（区块链即服务），推动区块链与云计算、人工智能的融合创新。推进区块链技术在金融、教育、医疗、公益、供应链、公共服务等领域的应用，积极打造一批突破性创新成果转化应用示范，抢占未来产业发展制高点。</w:t>
      </w:r>
    </w:p>
    <w:p>
      <w:pPr>
        <w:pStyle w:val="5"/>
        <w:spacing w:before="156" w:beforeLines="50" w:after="156" w:afterLines="50" w:line="560" w:lineRule="exact"/>
        <w:rPr>
          <w:rFonts w:ascii="仿宋" w:hAnsi="仿宋" w:eastAsia="仿宋"/>
        </w:rPr>
      </w:pPr>
      <w:bookmarkStart w:id="72" w:name="_Toc23793"/>
      <w:r>
        <w:rPr>
          <w:rFonts w:hint="eastAsia" w:ascii="仿宋" w:hAnsi="仿宋" w:eastAsia="仿宋"/>
        </w:rPr>
        <w:t>2.构建数字企业梯度体系</w:t>
      </w:r>
      <w:bookmarkEnd w:id="72"/>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（1）支持数字领军企业做大做强</w:t>
      </w:r>
    </w:p>
    <w:p>
      <w:pPr>
        <w:spacing w:line="56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全面推进总部企业、大企业大集团、民营龙头企业等引育计划，实施“雄鹰行动”，培育具有全国竞争力的一流企业，积极推动优质数字企业多渠道上市挂牌，鼓励上市公司开展并购重组、再融资，加快培育一批具有一定行业影响力的头部数字企业。培育一批数字产业平台型企业，支持企业建设生态型开源开放平台，鼓励引进平台型企业或综合型、区域型、功能型企业总部和生产基地，落地一批引领型、标志性重大项目</w:t>
      </w:r>
      <w:r>
        <w:rPr>
          <w:rFonts w:hint="eastAsia" w:ascii="仿宋" w:hAnsi="仿宋" w:eastAsia="仿宋" w:cs="仿宋"/>
          <w:bCs/>
          <w:sz w:val="32"/>
          <w:szCs w:val="32"/>
          <w:lang w:eastAsia="zh-CN"/>
        </w:rPr>
        <w:t>。</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（2）孵化中小微数字企业</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深入实施“雏鹰行动”和“科技企业双倍增行动”，强化小微企业、初创企业的政策支持和服务保障，实施专精特新“小巨人”成长计划，引导小微企业参与数字技术和产业创新活动。每年挑选一批创新能力较强、成长性良好的数字小微企业，以“精确指导”的方式，给予政策辅导、发展规划、项目牵引、专家帮扶、投资跟进、平台支持等全方位扶持，推动数字中小微企业发展成为数字科技成长型企业。</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（3）积极开展精准招商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结合乐清电子元器件、物联网、集成电路、大数据云计算等数字经济重点产业链打造，在全球范围内，梳理一批建链补链、延链强链的重大产业项目，鼓励有关部门、龙头企业与行业协会对目标企业协同开展“链对点”的精准招商。瞄准“三类500强”企业、总部经济、独角兽企业、外向型实体等，积极招引大项目大企业。力争“十四五期间”招引10亿元项目5个以上，5亿元以上项目10个。</w:t>
      </w:r>
    </w:p>
    <w:p>
      <w:pPr>
        <w:pStyle w:val="5"/>
        <w:spacing w:before="156" w:beforeLines="50" w:after="156" w:afterLines="50" w:line="560" w:lineRule="exact"/>
        <w:rPr>
          <w:rFonts w:ascii="仿宋" w:hAnsi="仿宋" w:eastAsia="仿宋"/>
        </w:rPr>
      </w:pPr>
      <w:bookmarkStart w:id="73" w:name="_Toc27697"/>
      <w:r>
        <w:rPr>
          <w:rFonts w:hint="eastAsia" w:ascii="仿宋" w:hAnsi="仿宋" w:eastAsia="仿宋"/>
        </w:rPr>
        <w:t>3.构筑产业发展重大平台</w:t>
      </w:r>
      <w:bookmarkEnd w:id="73"/>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（1）完善数字经济产业园建设</w:t>
      </w:r>
    </w:p>
    <w:p>
      <w:pPr>
        <w:pStyle w:val="70"/>
        <w:spacing w:line="560" w:lineRule="exact"/>
        <w:ind w:firstLine="640"/>
        <w:rPr>
          <w:rFonts w:ascii="仿宋" w:hAnsi="仿宋" w:eastAsia="仿宋" w:cs="仿宋"/>
          <w:bCs/>
          <w:kern w:val="0"/>
        </w:rPr>
      </w:pPr>
      <w:r>
        <w:rPr>
          <w:rFonts w:hint="eastAsia" w:ascii="仿宋" w:hAnsi="仿宋" w:eastAsia="仿宋"/>
        </w:rPr>
        <w:t>完善正泰（乐清）物联网传感器产业园建设，加强资源聚集和产业培育，发挥物联网骨干企业在技术、产品、市场、网络等方面的优势，走产业高端化道路，大力推广物联网技术的应用，推动优势传统产业转型升级，将产业园打造成为特色鲜明、示范和带动作用明显的物联网传感技术与应用产业园区。</w:t>
      </w:r>
      <w:r>
        <w:rPr>
          <w:rFonts w:hint="eastAsia" w:ascii="仿宋" w:hAnsi="仿宋" w:eastAsia="仿宋" w:cs="仿宋_GB2312"/>
        </w:rPr>
        <w:t>积极推进乐清湾港区建设5G产业园，聚焦5G关键元器件、共性技术发展，开展5G关键核心技术攻关；加快5G垂直行业应用，重点推动5G技术在电工电气、电子信息等行业的融合发展，开发5G通讯电器、5G通讯电源、5G高速连接器等新产品。依托虹桥电子元器件产业集聚区</w:t>
      </w:r>
      <w:r>
        <w:rPr>
          <w:rFonts w:hint="eastAsia" w:ascii="仿宋" w:hAnsi="仿宋" w:eastAsia="仿宋"/>
        </w:rPr>
        <w:t>，</w:t>
      </w:r>
      <w:r>
        <w:rPr>
          <w:rFonts w:hint="eastAsia" w:ascii="仿宋" w:hAnsi="仿宋" w:eastAsia="仿宋" w:cs="仿宋"/>
          <w:bCs/>
          <w:kern w:val="0"/>
        </w:rPr>
        <w:t>加大科技创新力度，发展“微型化、标准化、智能化、网络化、集成化”的新型电子元器件</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（2）高标准谋划数字经济小镇</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依托已建成的浙江云谷-磐石云数据中心等项目，联合工信部信通院、中国信息协会、华为等组织机构和头部企业，</w:t>
      </w:r>
      <w:r>
        <w:rPr>
          <w:rFonts w:ascii="仿宋" w:hAnsi="仿宋" w:eastAsia="仿宋" w:cs="仿宋"/>
          <w:bCs/>
          <w:sz w:val="32"/>
          <w:szCs w:val="32"/>
        </w:rPr>
        <w:t>围绕</w:t>
      </w:r>
      <w:r>
        <w:rPr>
          <w:rFonts w:hint="eastAsia" w:ascii="仿宋" w:hAnsi="仿宋" w:eastAsia="仿宋" w:cs="仿宋"/>
          <w:bCs/>
          <w:sz w:val="32"/>
          <w:szCs w:val="32"/>
        </w:rPr>
        <w:t>大数据、超级计算、边缘计算、区块链、人工智能、物联网</w:t>
      </w:r>
      <w:r>
        <w:rPr>
          <w:rFonts w:ascii="仿宋" w:hAnsi="仿宋" w:eastAsia="仿宋" w:cs="仿宋"/>
          <w:bCs/>
          <w:sz w:val="32"/>
          <w:szCs w:val="32"/>
        </w:rPr>
        <w:t>等产业领域，</w:t>
      </w:r>
      <w:r>
        <w:rPr>
          <w:rFonts w:hint="eastAsia" w:ascii="仿宋" w:hAnsi="仿宋" w:eastAsia="仿宋" w:cs="仿宋"/>
          <w:bCs/>
          <w:sz w:val="32"/>
          <w:szCs w:val="32"/>
        </w:rPr>
        <w:t>引进等数字经济主流技术、企业项目和研究机构，加大数字经济小镇所需的相关要素支撑，谋划建设磐石数字经济特色小镇，为乐清数字经济发展“筑巢引凤”，把磐石打造成为省内具有标志性特征的数字经济创新发展的策源地。</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（3）建设一批数字产业“飞地”</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加强创新链接和飞地建设，</w:t>
      </w:r>
      <w:r>
        <w:rPr>
          <w:rFonts w:hint="eastAsia" w:ascii="仿宋" w:hAnsi="仿宋" w:eastAsia="仿宋" w:cs="仿宋_GB2312"/>
          <w:sz w:val="32"/>
          <w:szCs w:val="32"/>
        </w:rPr>
        <w:t>发挥浙大紫金港·乐清数字经济创新基地和乐清·南翔科创合作基地等平台作用，依托浙江大学、复旦大学等科创资源优势，在集成电路、半导体新材料、物联网、传感器等领域开展合作，实现企业域外创新、乐清本地产业化。谋划在</w:t>
      </w:r>
      <w:r>
        <w:rPr>
          <w:rFonts w:hint="eastAsia" w:ascii="仿宋" w:hAnsi="仿宋" w:eastAsia="仿宋" w:cs="仿宋"/>
          <w:bCs/>
          <w:sz w:val="32"/>
          <w:szCs w:val="32"/>
        </w:rPr>
        <w:t>北京、深圳等地新建人才科创“飞地”布局，借力一线城市院校和科创资源，打造新产品研发“加速器”，不断推进在集成电路、电子信息、物联网、未来产业等相关领域的科研合作和创新发展。</w:t>
      </w:r>
    </w:p>
    <w:p>
      <w:pPr>
        <w:spacing w:before="156" w:beforeLines="50" w:after="156" w:afterLines="50" w:line="560" w:lineRule="exact"/>
        <w:ind w:firstLine="640" w:firstLineChars="200"/>
        <w:outlineLvl w:val="1"/>
        <w:rPr>
          <w:rFonts w:hint="eastAsia" w:ascii="楷体" w:hAnsi="楷体" w:eastAsia="楷体" w:cs="楷体"/>
          <w:bCs/>
          <w:sz w:val="32"/>
          <w:szCs w:val="32"/>
        </w:rPr>
      </w:pPr>
      <w:bookmarkStart w:id="74" w:name="_Toc10792"/>
      <w:r>
        <w:rPr>
          <w:rFonts w:hint="eastAsia" w:ascii="楷体" w:hAnsi="楷体" w:eastAsia="楷体" w:cs="楷体"/>
          <w:bCs/>
          <w:sz w:val="32"/>
          <w:szCs w:val="32"/>
        </w:rPr>
        <w:t>（二）产业数字化，推进数字赋能实体经济</w:t>
      </w:r>
      <w:bookmarkEnd w:id="74"/>
    </w:p>
    <w:p>
      <w:pPr>
        <w:pStyle w:val="5"/>
        <w:spacing w:before="156" w:beforeLines="50" w:after="156" w:afterLines="50" w:line="560" w:lineRule="exact"/>
        <w:rPr>
          <w:rFonts w:ascii="仿宋" w:hAnsi="仿宋" w:eastAsia="仿宋"/>
        </w:rPr>
      </w:pPr>
      <w:bookmarkStart w:id="75" w:name="_Toc13389"/>
      <w:r>
        <w:rPr>
          <w:rFonts w:hint="eastAsia" w:ascii="仿宋" w:hAnsi="仿宋" w:eastAsia="仿宋"/>
        </w:rPr>
        <w:t>1.推进制造业数字化改造</w:t>
      </w:r>
      <w:bookmarkEnd w:id="75"/>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（1）打造新智造层次体系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面推进企业智能化问诊工作，实现规上企业全覆盖。建立乐清新智造标准体系，按行业和企业规模分层次建立新智造企业库，实施“未来工厂”为引领的新智造行动，大力推进智能制造单元、智能生产线、车间物联网、数字化车间、智能工厂建设，探索建设“头雁工厂”“链主工厂”“协同工厂”“硬核工厂”等多元化的“未来工厂”，为中小企业实施智能制造提供示范样本。“十四五”期间，争取实现规上企业智能化改造全覆盖，打造一批“数字化车间、智能化工厂”试点示范及培育梯队。</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（2）建设细分行业产业大脑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依托省产业大脑基础底座，以智能电气行业产业大脑列入省级建设试点为契机，突出产业、支撑企业为主要出发点，以工业互联网为支撑，以数据资源为核心，综合集成产业链、供应链、资金链、创新链，建设多元数据融合应用的细分行业产业大脑。围绕产业生态、新智造应用、共性技术、政府服务等方面，部署一批“大场景、小切口”的应用，推动政府侧、企业侧数据汇聚、有序交互和融合应用。并根据智能电气行业特性，针对企业需求，不断迭代升级已有应用场景，开发新场景，为</w:t>
      </w:r>
      <w:r>
        <w:rPr>
          <w:rFonts w:hint="eastAsia" w:ascii="仿宋" w:hAnsi="仿宋" w:eastAsia="仿宋" w:cs="仿宋"/>
          <w:sz w:val="32"/>
          <w:szCs w:val="32"/>
          <w:lang w:val="en-US" w:eastAsia="zh-CN"/>
        </w:rPr>
        <w:t>我</w:t>
      </w:r>
      <w:r>
        <w:rPr>
          <w:rFonts w:hint="eastAsia" w:ascii="仿宋" w:hAnsi="仿宋" w:eastAsia="仿宋" w:cs="仿宋"/>
          <w:sz w:val="32"/>
          <w:szCs w:val="32"/>
        </w:rPr>
        <w:t>市中小企业提供多领域、全方位数字化转型解决方案。</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（3）创新工业互联网应用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对接国内知名云服务商，帮助乐清中小企业开展设备联网上云、数据集成上云等深度用云，实现1.5万家企业上云，培育15家上云标杆企业。围绕电工电气、电子信息制造、五</w:t>
      </w:r>
      <w:r>
        <w:rPr>
          <w:rFonts w:hint="eastAsia" w:ascii="仿宋" w:hAnsi="仿宋" w:eastAsia="仿宋"/>
          <w:spacing w:val="-8"/>
          <w:sz w:val="32"/>
          <w:szCs w:val="32"/>
          <w:lang w:val="zh-CN"/>
        </w:rPr>
        <w:t>金工具、汽摩配、</w:t>
      </w:r>
      <w:r>
        <w:rPr>
          <w:rFonts w:hint="eastAsia" w:ascii="仿宋" w:hAnsi="仿宋" w:eastAsia="仿宋" w:cs="仿宋"/>
          <w:sz w:val="32"/>
          <w:szCs w:val="32"/>
        </w:rPr>
        <w:t>模具制造等产业数字化转型，加快建设一批行业级、企业级工业互联网平台，努力发展1</w:t>
      </w:r>
      <w:r>
        <w:rPr>
          <w:rFonts w:hint="eastAsia" w:ascii="仿宋" w:hAnsi="仿宋" w:eastAsia="仿宋" w:cs="仿宋"/>
          <w:sz w:val="32"/>
          <w:szCs w:val="32"/>
          <w:lang w:eastAsia="zh-CN"/>
        </w:rPr>
        <w:t>—</w:t>
      </w:r>
      <w:r>
        <w:rPr>
          <w:rFonts w:hint="eastAsia" w:ascii="仿宋" w:hAnsi="仿宋" w:eastAsia="仿宋" w:cs="仿宋"/>
          <w:sz w:val="32"/>
          <w:szCs w:val="32"/>
        </w:rPr>
        <w:t>2个国内领先的行业级工业互联网平台，引导大企业建平台，鼓励中小企业积极上平台、用平台，构建大中小企业融通发展格局。依托华为、西门子等龙头企业，在乐清建立工业互联网创新中心，加速软件技术实现工业技术、工艺经验、制造知识和方法的显性化、数字化和系统化，开发一批典型场景应用工业APP。</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（4）增强信息服务供给能力</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提升制造业数字化转型服务支撑能力，招引省级优秀工业信息工程服务机构到乐清开展智能化改造和信息工程服务，推广一批面向特定行业数字化整体解决方案。以数字化转型标杆企业为示范引领，以数字化转型解决方案提供商、政府部门为核心支撑，统筹智库咨询机构、科技研发机构、金融服务机构、网络建设服务商、行业协会等数字化转型配套协同方的联动合作，整合资源，培育一批技术实力雄厚、服务能力优秀的数字化转型建设、服务机构梯队，推动制造业数字化转型水平整体提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22" w:type="dxa"/>
          </w:tcPr>
          <w:p>
            <w:pPr>
              <w:pStyle w:val="29"/>
              <w:spacing w:line="560" w:lineRule="exact"/>
              <w:ind w:firstLine="0" w:firstLineChars="0"/>
              <w:jc w:val="center"/>
              <w:rPr>
                <w:rFonts w:ascii="仿宋" w:hAnsi="仿宋" w:eastAsia="仿宋" w:cs="仿宋"/>
                <w:sz w:val="28"/>
                <w:szCs w:val="28"/>
              </w:rPr>
            </w:pPr>
            <w:r>
              <w:rPr>
                <w:rFonts w:hint="eastAsia" w:ascii="黑体" w:hAnsi="黑体" w:eastAsia="黑体" w:cs="黑体"/>
                <w:sz w:val="28"/>
                <w:szCs w:val="28"/>
              </w:rPr>
              <w:t>专栏3  电气产业集群数字化改造攻坚行动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522" w:type="dxa"/>
          </w:tcPr>
          <w:p>
            <w:pPr>
              <w:pStyle w:val="29"/>
              <w:spacing w:line="560" w:lineRule="exact"/>
              <w:ind w:firstLine="560"/>
              <w:rPr>
                <w:rFonts w:ascii="仿宋" w:hAnsi="仿宋" w:eastAsia="仿宋" w:cs="仿宋"/>
                <w:b/>
                <w:bCs/>
                <w:color w:val="0000FF"/>
                <w:sz w:val="28"/>
                <w:szCs w:val="28"/>
              </w:rPr>
            </w:pPr>
            <w:r>
              <w:rPr>
                <w:rFonts w:hint="eastAsia" w:ascii="仿宋" w:hAnsi="仿宋" w:eastAsia="仿宋" w:cs="仿宋"/>
                <w:sz w:val="28"/>
                <w:szCs w:val="28"/>
              </w:rPr>
              <w:t>推进5G、人工智能、工业互联网、物联网等新技术与电气产业的融合，提升企业数字化网络化智能化制造水平，高水平建成具有较强国际影响力和国内领先的电气产业新智造集群标杆区。积极发展物联智能电气设备和能源互联网系统，加快智能电气及成套设备前沿技术研究和产品研发，积极占领智能电气技术高地，形成完备的物联智能电气产品群。大规模推广智能化技术改造，聚焦关键工序智能化、关键岗位机器人替代、生产过程智能优化控制、供应链网络协同，建立“制造单元-自动工段-智能产线-数字化车间-智能工厂”梯次改造提升路径。对标全球“灯塔工厂”、省“未来工厂”建设标准，积极推广数字化设计、网络化协同、智能化生产、个性化定制、服务化延伸、数字化管理、组织型制造等场景应用，培育一批技术水平领先、应用效果显著的国家、省级试点示范项目，发挥引领带动作用。加快实施“5G+工业互联网”工程，推进电气行业云平台建设，推动企业业务上云和“两化”融合贯标。</w:t>
            </w:r>
          </w:p>
        </w:tc>
      </w:tr>
    </w:tbl>
    <w:p>
      <w:pPr>
        <w:pStyle w:val="5"/>
        <w:spacing w:before="156" w:beforeLines="50" w:after="156" w:afterLines="50" w:line="560" w:lineRule="exact"/>
        <w:rPr>
          <w:rFonts w:ascii="仿宋" w:hAnsi="仿宋" w:eastAsia="仿宋"/>
        </w:rPr>
      </w:pPr>
      <w:bookmarkStart w:id="76" w:name="_Toc29750"/>
      <w:r>
        <w:rPr>
          <w:rFonts w:hint="eastAsia" w:ascii="仿宋" w:hAnsi="仿宋" w:eastAsia="仿宋"/>
        </w:rPr>
        <w:t>2.推进服务业数字化融合</w:t>
      </w:r>
      <w:bookmarkEnd w:id="76"/>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（1）大力发展数字贸易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加强数字贸易平台搭建，高水平打造自贸区温州联动创新区乐清片区，融入RCEP开展市场化全球布局，谋划“数字贸易港”建设，重点培育跨境电子商务、数字软件贸易、数字内容贸易等，拓展数字贸易商务应用。加快电子商务创新，推进八米网、华京建材专业电商园等重点平台和基地建设，创新发展体验经济、智能经济、社群经济、共享经济等新型电商业态。力争到2025年，培育网络销售额超1亿级电商平台企业4家以上，建成规模电商产业基地8个，其中温州市级以上电商产业基地5个。加快跨境电商做强做大，扎实推进全市跨境电商产业试点项目建设，培育发展市场采购贸易，支持企业自建、收购并购或租赁海外仓。</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（2）发展数字生活新服务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推动“互联网+”与商贸服务深度融合，引导生活服务业“云化”改造，培育一批示范平台和新零售项目。加快推进“网上菜场”“网上餐厅”“网上超市”“网上市场”“网上家政”等数字生活服务建设，推广“零接触”服务等新模式。新建和改造一批社区生活服务中心，统筹推进智能投递、智能停车等社区生活服务设施建设，完善城乡“最后一公里”便民服务。大力推动智慧商圈和智慧街区建设，整合提升商圈智慧商务、智慧设施、智慧服务、智慧营销、智慧环境、智慧管理等“六智”大场景应用创新，实现全链路、全媒体、全渠道的智能营销。</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（3）推动生产性服务业数字化转型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加快培育建设国家和省级工业设计中心，发展智能设计、云设计等数字化设计新业态；发展总集成总承包、全生命周期管理、智能运维等服务型制造。推动检验检测认证、创业孵化、科技咨询等数字化转型，推广智慧检测、共享实验室等新模式。围绕智能电气全产业链整合优化，以数字化手段促进生产、分配、流通、消费各环节服务循环畅通，积极推进研发设计、金融服务、现代物流、检验检测、商务咨询、人力资源服务等数字化转型。推动仓储配送环节数字化升级，发展共享云仓、城市末端共同配送、无接触配送等新模式。</w:t>
      </w:r>
    </w:p>
    <w:p>
      <w:pPr>
        <w:pStyle w:val="5"/>
        <w:spacing w:before="156" w:beforeLines="50" w:after="156" w:afterLines="50" w:line="560" w:lineRule="exact"/>
        <w:rPr>
          <w:rFonts w:ascii="仿宋" w:hAnsi="仿宋" w:eastAsia="仿宋"/>
        </w:rPr>
      </w:pPr>
      <w:bookmarkStart w:id="77" w:name="_Toc23073"/>
      <w:r>
        <w:rPr>
          <w:rFonts w:hint="eastAsia" w:ascii="仿宋" w:hAnsi="仿宋" w:eastAsia="仿宋"/>
        </w:rPr>
        <w:t>3.推进农业数字化转型</w:t>
      </w:r>
      <w:bookmarkEnd w:id="77"/>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（1）推进农业生产方式转变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聚焦乐清水果蔬菜、铁皮石斛、精品名茶、畜牧养殖、水产养殖等特色优势产业，加快建设农业“机器换人”高质量发展先行市步伐，加大果蔬等经济作物采摘薄弱环节农机具的推广力度，推进生产环节智能装备应用，建设特色农产品生产加工机械化示范基地。依托农业产业示范园，大力推进大田种植、设施园艺、畜禽养殖农业物联网示范应用，积极探索人工智能视觉系统在自动采摘和智能分拣包装等环节的应用，提升农业生产效率和作业水平。</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（2）建设农业服务管理平台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提升农业农村公共服务信息化水平，不断完善益农信息社作为信息进村入户工程的载体，打通数字农村“最后一公里”。积极打造农业物联网通用平台，实现对全市各类涉农业务数据资源的采集、分析、利用提供有力支撑。以数字化改革为引领，提速建设铁皮石斛全产业链大数据及应用平台，优化产业销售供给策略，推进“肥药两制”改革和农村集体“三资”管理系统全面应用。</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（3）完善网络化流通体系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将农村电商打造成乡村振兴新引擎，大力实施电子商务进农村综合示范工程，开展省级电商专业村、省级电商示范村建设，推进“电商+快递”“电商+直播”等新零售发展。打造农产品出村进城“互联网+流通+服务”的模式，完善农产品网络销售、运营服务和支撑保障体系，打通农产品从基地到城市社区与市场的信息流、物流通道，利用浙农码健全农产品质量安全追溯系统。</w:t>
      </w:r>
    </w:p>
    <w:p>
      <w:pPr>
        <w:spacing w:before="156" w:beforeLines="50" w:after="156" w:afterLines="50" w:line="560" w:lineRule="exact"/>
        <w:ind w:firstLine="640" w:firstLineChars="200"/>
        <w:outlineLvl w:val="1"/>
        <w:rPr>
          <w:rFonts w:hint="eastAsia" w:ascii="楷体" w:hAnsi="楷体" w:eastAsia="楷体" w:cs="楷体"/>
          <w:kern w:val="2"/>
          <w:sz w:val="32"/>
          <w:szCs w:val="32"/>
        </w:rPr>
      </w:pPr>
      <w:bookmarkStart w:id="78" w:name="_Toc13661"/>
      <w:bookmarkStart w:id="79" w:name="_Toc29377"/>
      <w:r>
        <w:rPr>
          <w:rFonts w:hint="eastAsia" w:ascii="楷体" w:hAnsi="楷体" w:eastAsia="楷体" w:cs="楷体"/>
          <w:kern w:val="2"/>
          <w:sz w:val="32"/>
          <w:szCs w:val="32"/>
        </w:rPr>
        <w:t>（三）数字化改革，构建高效现代治理体系</w:t>
      </w:r>
      <w:bookmarkEnd w:id="78"/>
      <w:bookmarkEnd w:id="79"/>
    </w:p>
    <w:p>
      <w:pPr>
        <w:pStyle w:val="5"/>
        <w:spacing w:before="156" w:beforeLines="50" w:after="156" w:afterLines="50" w:line="560" w:lineRule="exact"/>
        <w:rPr>
          <w:rFonts w:ascii="仿宋" w:hAnsi="仿宋" w:eastAsia="仿宋"/>
        </w:rPr>
      </w:pPr>
      <w:bookmarkStart w:id="80" w:name="_Toc17125"/>
      <w:bookmarkStart w:id="81" w:name="_Toc18381"/>
      <w:bookmarkStart w:id="82" w:name="_Toc27303"/>
      <w:r>
        <w:rPr>
          <w:rFonts w:hint="eastAsia" w:ascii="仿宋" w:hAnsi="仿宋" w:eastAsia="仿宋"/>
        </w:rPr>
        <w:t>1.打造整体智治现代政府</w:t>
      </w:r>
      <w:bookmarkEnd w:id="80"/>
      <w:bookmarkEnd w:id="81"/>
      <w:bookmarkEnd w:id="82"/>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（1）深入开展政府数字化转型</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全面贯彻数字化改革精神，以数字化手段推进政府服务体系全方位、系统性、重塑性变革，深化“最多跑一次”改革，积极推进政务服务“去中心化”，深化机关内部“一件事”集成改革，充分利用“浙里办”“浙政钉”两大终端，全方位深化政府数字化转型，打造数字政府治理的新模式。推行“互联网+政务服务”，聚焦政务服务2.0建设，推进“掌上办”集成优化；聚焦整体智治，推进“一屏掌控全城”；聚焦场景化创新，推进多业务协同应用。实现政府协同高效运作，深入推进便民利企“一件事”改革，聚焦“稳企业、防风险、促改革、惠民生”等重点领域，谋划建设一批跨部门、跨业务综合集成创新的重大应用项目，加快打造“整体智治、唯实惟先”的现代政府。</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（2）建设数字政府系统提升政府治理水平</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深化数字政府系统建设，依托一体化智能化公共数据平台，建设数字政府综合应用，通过对各部门核心业务数字化应用迭代升级，建设重大任务、重点领域跨层级、跨部门、跨系统，全业务协同应用的功能模块，实现政府履职整体智治、高效协同，加快建设全省领先的“掌上办公之城”“掌上办事之城”“掌上治理之城”。</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（3）建设数字经济系统提升政企协同能力</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全力做好数字经济系统建设乐清工作，推进数字经济综合应用系统建设，以“产业大脑+未来工厂”为核心，未来产业先导区、资源要素配置、数字贸易、科技创新等建设为引领，推动数字产业化、产业数字化，探索体制机制创新，形成全要素、全产业链、全价值链全面连接的数字经济运行系统，赋能经济高质量发展。</w:t>
      </w:r>
    </w:p>
    <w:p>
      <w:pPr>
        <w:pStyle w:val="5"/>
        <w:spacing w:before="156" w:beforeLines="50" w:after="156" w:afterLines="50" w:line="560" w:lineRule="exact"/>
        <w:rPr>
          <w:rFonts w:ascii="仿宋" w:hAnsi="仿宋" w:eastAsia="仿宋"/>
        </w:rPr>
      </w:pPr>
      <w:bookmarkStart w:id="83" w:name="_Toc10758"/>
      <w:bookmarkStart w:id="84" w:name="_Toc5020"/>
      <w:bookmarkStart w:id="85" w:name="_Toc13332"/>
      <w:r>
        <w:rPr>
          <w:rFonts w:hint="eastAsia" w:ascii="仿宋" w:hAnsi="仿宋" w:eastAsia="仿宋"/>
        </w:rPr>
        <w:t>2.构建高效基层治理体系</w:t>
      </w:r>
      <w:bookmarkEnd w:id="83"/>
      <w:bookmarkEnd w:id="84"/>
      <w:bookmarkEnd w:id="85"/>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（1）深化“城市大脑”建设</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根据“163+X”体系的总体框架，实施“城市大脑”运营指挥中心建设工程，建设全市统一的跨部门、跨层级、多领域、智能化的数字“城市大脑”，通过整合全市数据资源，并进行深度挖掘、综合应用，实现对城市的全面感知（智能化）、态势监测（可视化）、事件预警（可控化），实时掌控城市运行态势、协同处置跨域业务、支撑应急决策指挥。</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（2）完善基层治理体系</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加快建设各乡镇（街道）“数字驾驶舱”，构建形成市、乡镇（街道）及村（社区）联动的智慧治理体系。围绕城市管理、环境保护、安全生产、消防安全、社会治安和民意民情，打造纵向贯通、横向集成、共享共用、安全可靠的综合治理体系。推进乐清“城市大脑”与“浙里办”融合打通，实现数据同源发布、回流。创新以数据资源为基础、多方参与的社会治理模式，健全“四治融合”城乡基层治理体系，深化“基层治理四平台”和社会矛盾纠纷化解数字化应用建设。</w:t>
      </w:r>
    </w:p>
    <w:p>
      <w:pPr>
        <w:pStyle w:val="5"/>
        <w:spacing w:before="156" w:beforeLines="50" w:after="156" w:afterLines="50" w:line="560" w:lineRule="exact"/>
        <w:rPr>
          <w:rFonts w:ascii="仿宋" w:hAnsi="仿宋" w:eastAsia="仿宋"/>
        </w:rPr>
      </w:pPr>
      <w:bookmarkStart w:id="86" w:name="_Toc15653"/>
      <w:bookmarkStart w:id="87" w:name="_Toc27950"/>
      <w:bookmarkStart w:id="88" w:name="_Toc25775"/>
      <w:r>
        <w:rPr>
          <w:rFonts w:hint="eastAsia" w:ascii="仿宋" w:hAnsi="仿宋" w:eastAsia="仿宋"/>
        </w:rPr>
        <w:t>3.加快数字社会优化布局</w:t>
      </w:r>
      <w:bookmarkEnd w:id="86"/>
      <w:bookmarkEnd w:id="87"/>
      <w:bookmarkEnd w:id="88"/>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（1）推进新型智慧城市建设</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以“城市大脑”为统领，在经济治理、社会治理、民生治理、生态治理、应急管理等领域整合信息资源，建立覆盖全市的公共数据平台，加快形成即时感知、高效运行、科学决策、主动服务、智能监管的新型治理形态，提高城市科学化、精细化、智能化管理水平。以提升城市资源的科学调配和精细化、网格化管理能力，在智慧城管、智慧交通、智慧社区、智慧旅游、智慧教育等领域推进一批场景化多业务协同应用。推进智慧小区、智慧社区、智慧街区建设，打造无感管理、有感服务的智慧应用场景。</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（2）积极推进乡村数字化建设</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围绕农民群众在教育、医疗、养老、救助等领域需求，实施乡村数字服务建设工程。推进“互联网+”政务服务向乡村延伸覆盖，以“浙里办”为载体，持续推进“掌上办”集成优化，优化政务事项要素和流程，所有农业农村系统政务许可事项100%线上受理。强化“基层治理四平台”和“全科网格2.0”建设运行，构建贯通市、镇街、村（社区）联通相关领域的县域社会治理信息综合、指挥调度、联动处置体系。到2025年，乡村治理体系基本完善，农民基本实现“办事不出村”。</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（3）建设数字社会系统提升社会服务能力</w:t>
      </w:r>
    </w:p>
    <w:p>
      <w:pPr>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以“城市大脑”为支撑，以满足群众高品质生活需求和实现社会治理现代化为导向，围绕“婴育、教育、就业、居住、文化、体育、旅游、医疗、养老、救助、交通、家政”等领域，创造性探索“一件事”集成协同场景，推进公共服务供给创新，完善优质公共服务资源统筹共享机制，打造一批跨部门多业务协同应用，夯实社会事业领域数字化基础。迭代升级“困难群众救助一件事”等多跨场景，突出便民惠民服务等多跨应用场景，聚焦“小切口、大场景”，创新建设一批典型应用和最佳实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22" w:type="dxa"/>
            <w:vAlign w:val="top"/>
          </w:tcPr>
          <w:p>
            <w:pPr>
              <w:pStyle w:val="29"/>
              <w:spacing w:line="560" w:lineRule="exact"/>
              <w:ind w:firstLine="0" w:firstLineChars="0"/>
              <w:jc w:val="center"/>
              <w:rPr>
                <w:rFonts w:ascii="仿宋" w:hAnsi="仿宋" w:eastAsia="仿宋" w:cs="仿宋"/>
                <w:sz w:val="28"/>
                <w:szCs w:val="28"/>
              </w:rPr>
            </w:pPr>
            <w:r>
              <w:rPr>
                <w:rFonts w:hint="eastAsia" w:ascii="黑体" w:hAnsi="黑体" w:eastAsia="黑体" w:cs="黑体"/>
                <w:sz w:val="28"/>
                <w:szCs w:val="28"/>
              </w:rPr>
              <w:t>专栏4  数字生活培育行动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0" w:hRule="atLeast"/>
          <w:jc w:val="center"/>
        </w:trPr>
        <w:tc>
          <w:tcPr>
            <w:tcW w:w="8522" w:type="dxa"/>
            <w:vAlign w:val="top"/>
          </w:tcPr>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数字医疗。</w:t>
            </w:r>
            <w:r>
              <w:rPr>
                <w:rFonts w:hint="eastAsia" w:ascii="仿宋" w:hAnsi="仿宋" w:eastAsia="仿宋" w:cs="仿宋"/>
                <w:sz w:val="28"/>
                <w:szCs w:val="28"/>
              </w:rPr>
              <w:t>鼓励应用数字技术提升医疗质量，支持开展“互联网+”健康资讯、诊疗、护理、药事等服务，推进智慧医院、数字医共体建设。聚合掌上医疗健康服务，支持开展“互联网+”健康咨询、医疗、护理、药事等服务，加快实现医保在线支付、处方流转、药品配送等功能，通过24小时“网订店送”药房民生实事项目建设，实现线上线下全流程服务闭环。持续推进智慧健康养老产业发展。</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数字交通。</w:t>
            </w:r>
            <w:r>
              <w:rPr>
                <w:rFonts w:hint="eastAsia" w:ascii="仿宋" w:hAnsi="仿宋" w:eastAsia="仿宋" w:cs="仿宋"/>
                <w:sz w:val="28"/>
                <w:szCs w:val="28"/>
              </w:rPr>
              <w:t>运用数字地图等技术，以生活场景为起点联结铁路、公路、城市道路，构建“一张图”，促进出行与生活场景有机衔接。充分发挥互联网、大数据、人工智能的作用，加快推进相关部门数据互联互通、共享共治，推动实现数据驱动的城市交通管理模式和服务模式，提升交通通勤效率。积极发展智能网联汽车、船联网等场景应用，规范发展智能停车、智能公交、分时租赁汽车、自动驾驶微公交等服务新业态。</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数字文旅。</w:t>
            </w:r>
            <w:r>
              <w:rPr>
                <w:rFonts w:hint="eastAsia" w:ascii="仿宋" w:hAnsi="仿宋" w:eastAsia="仿宋" w:cs="仿宋"/>
                <w:sz w:val="28"/>
                <w:szCs w:val="28"/>
              </w:rPr>
              <w:t>加强文旅设施智能化建设，推动大数据、VR/AR、人脸识别、高清直播等技术应用，提升食住行、讲解等应用场景数字化水平，增强休闲及消费体验。加快景区数字化、智能化转型升级，探索发展智慧景区客流统计、游客洞察、智能预警和应急处理等应用。加快推广数字图书馆、数字文化馆，实现数字公共文化资源无差别、无门槛服务。</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数字教育。</w:t>
            </w:r>
            <w:r>
              <w:rPr>
                <w:rFonts w:hint="eastAsia" w:ascii="仿宋" w:hAnsi="仿宋" w:eastAsia="仿宋" w:cs="仿宋"/>
                <w:sz w:val="28"/>
                <w:szCs w:val="28"/>
              </w:rPr>
              <w:t>引导全市学校建设智慧校园，创新教学、教研和管理方式，构建一体化的“互联网+教育”大平台，引进培育优质教育品牌投入线上课程建设，推进政府购买服务和教育资源按用付费，促进优质教育资源供给和共享。质量发展在线教育，实现与温州教育“数字大脑”体系、省“之江汇”教育广场2.0的有效衔接，推进智能化、交互式在线教育模式，打造若干线上教育典型场景。</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智慧商圈。</w:t>
            </w:r>
            <w:r>
              <w:rPr>
                <w:rFonts w:hint="eastAsia" w:ascii="仿宋" w:hAnsi="仿宋" w:eastAsia="仿宋" w:cs="仿宋"/>
                <w:sz w:val="28"/>
                <w:szCs w:val="28"/>
              </w:rPr>
              <w:t>聚焦服务便利化、智慧化、人性化、特色化，深度运用数字技术改造提升一批智慧商店、智慧商业综合体，推进智慧商务、智慧设施、智慧服务、智慧营销、智慧环境、智慧管理等场景应用创新，有序实施中心城区、柳市、北白象、虹桥、雁荡“五大商圈”改造提升工程，打造若干个智慧商圈，实现全链路、全媒体、全渠道的智能营销。</w:t>
            </w:r>
          </w:p>
          <w:p>
            <w:pPr>
              <w:pStyle w:val="29"/>
              <w:spacing w:line="560" w:lineRule="exact"/>
              <w:ind w:firstLine="562"/>
              <w:rPr>
                <w:rFonts w:ascii="仿宋" w:hAnsi="仿宋" w:eastAsia="仿宋" w:cs="仿宋"/>
                <w:sz w:val="28"/>
                <w:szCs w:val="28"/>
              </w:rPr>
            </w:pPr>
            <w:r>
              <w:rPr>
                <w:rFonts w:hint="eastAsia" w:ascii="仿宋" w:hAnsi="仿宋" w:eastAsia="仿宋" w:cs="仿宋"/>
                <w:b/>
                <w:bCs/>
                <w:sz w:val="28"/>
                <w:szCs w:val="28"/>
              </w:rPr>
              <w:t>未来社区。</w:t>
            </w:r>
            <w:r>
              <w:rPr>
                <w:rFonts w:hint="eastAsia" w:ascii="仿宋" w:hAnsi="仿宋" w:eastAsia="仿宋" w:cs="仿宋"/>
                <w:sz w:val="28"/>
                <w:szCs w:val="28"/>
              </w:rPr>
              <w:t>持续开展未来社区建设，以满足社区居民数字社会美好生活需求为牵引，推进优质公共服务资源向城市社区延伸，持续迭代提升未来社区智慧服务应用，集成社会事业公共服务，落地“九大场景”，形成数字社会城市基本功能单元系统，打造便捷舒适生活圈。加快推进胜利社区、旭阳社区等省级未来社区试点建设。</w:t>
            </w:r>
          </w:p>
        </w:tc>
      </w:tr>
    </w:tbl>
    <w:p>
      <w:pPr>
        <w:spacing w:before="156" w:beforeLines="50" w:after="156" w:afterLines="50" w:line="560" w:lineRule="exact"/>
        <w:ind w:firstLine="640" w:firstLineChars="200"/>
        <w:outlineLvl w:val="1"/>
        <w:rPr>
          <w:rFonts w:hint="eastAsia" w:ascii="楷体" w:hAnsi="楷体" w:eastAsia="楷体" w:cs="楷体"/>
          <w:kern w:val="2"/>
          <w:sz w:val="32"/>
          <w:szCs w:val="32"/>
        </w:rPr>
      </w:pPr>
      <w:bookmarkStart w:id="89" w:name="_Toc2936"/>
      <w:bookmarkStart w:id="90" w:name="_Toc820"/>
      <w:r>
        <w:rPr>
          <w:rFonts w:hint="eastAsia" w:ascii="楷体" w:hAnsi="楷体" w:eastAsia="楷体" w:cs="楷体"/>
          <w:kern w:val="2"/>
          <w:sz w:val="32"/>
          <w:szCs w:val="32"/>
        </w:rPr>
        <w:t>（四）数据价值化，实施数据资源开放共享</w:t>
      </w:r>
      <w:bookmarkEnd w:id="89"/>
      <w:bookmarkEnd w:id="90"/>
    </w:p>
    <w:p>
      <w:pPr>
        <w:pStyle w:val="5"/>
        <w:spacing w:before="156" w:beforeLines="50" w:after="156" w:afterLines="50" w:line="560" w:lineRule="exact"/>
        <w:rPr>
          <w:rFonts w:ascii="仿宋" w:hAnsi="仿宋" w:eastAsia="仿宋"/>
        </w:rPr>
      </w:pPr>
      <w:bookmarkStart w:id="91" w:name="_Toc25210"/>
      <w:bookmarkStart w:id="92" w:name="_Toc26613"/>
      <w:r>
        <w:rPr>
          <w:rFonts w:hint="eastAsia" w:ascii="仿宋" w:hAnsi="仿宋" w:eastAsia="仿宋"/>
        </w:rPr>
        <w:t>1.推进一体化智能化公共数据平台建设</w:t>
      </w:r>
      <w:bookmarkEnd w:id="91"/>
      <w:bookmarkEnd w:id="92"/>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（1）抓好一体化智能化公共数据基础平台建设</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围绕数字化改革决策部署，深入对接省、市一体化智能化公共数据平台，按照“以用促建、共建共享”原则，建设“四横四纵”八大体系和“浙里办”“浙政钉”两个终端，迭代升级“浙里办”“浙政钉”乐清平台两大终端，打造健壮稳定、集约高效、安全可信、开放兼容的一体化智能化公共数据平台，实现数据资源的高效率配置，有效支撑党政机关整体智治、数字政府、数字经济、数字社会、数字法治全领域改革。</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（2）加强一体化智能化应用支撑体系建设</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统筹规划一体化智能化应用支撑体系，为各乡镇（街道）、各部门开发业务应用提供公共支撑。建立乐清一体化智能化应用组件目录，强制类组件要求数字化改革应用必须使用，推荐类组件可选择使用。针对数字化改革过程中的新任务、新需求，开发共性适用的应用支撑组件，推进共建共享，丰富应用支撑体系。</w:t>
      </w:r>
    </w:p>
    <w:p>
      <w:pPr>
        <w:pStyle w:val="5"/>
        <w:spacing w:before="156" w:beforeLines="50" w:after="156" w:afterLines="50" w:line="560" w:lineRule="exact"/>
        <w:rPr>
          <w:rFonts w:ascii="仿宋" w:hAnsi="仿宋" w:eastAsia="仿宋"/>
        </w:rPr>
      </w:pPr>
      <w:bookmarkStart w:id="93" w:name="_Toc13657"/>
      <w:bookmarkStart w:id="94" w:name="_Toc23500"/>
      <w:r>
        <w:rPr>
          <w:rFonts w:hint="eastAsia" w:ascii="仿宋" w:hAnsi="仿宋" w:eastAsia="仿宋"/>
        </w:rPr>
        <w:t>2.推进数据整合和开放共享</w:t>
      </w:r>
      <w:bookmarkEnd w:id="93"/>
      <w:bookmarkEnd w:id="94"/>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（1）推进数据整合与挖掘</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支持市场主体依法合规开展数据采集，聚焦数据的标注、清洗、脱敏、脱密、聚合、分析等环节，提升数据资源处理能力，切实提高数据质量和实效性。支持政府部门和工业企业应用5G、NB-IoT、IPv6、RFID、NFC、智能传感器等物联网技术实现全流程数据采集。开放数据的应用场景，以市场化方式推动数据资源的创新应用和价值挖掘，探索建立数据资产确权定价与交易流通机制。</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（2）推进数据开放和共享</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加大公共数据开放力度，建立常态化公共数据开放工作机制，推动各级部门和国有企业分级、分类、有序开放数据，为各领域创新应用提供基础支撑。探索建设开放数据应用生态圈，依托省市公共数据平台和开放数据，积极推进公共数据与社会数据的融合应用，优先开放城市管理、普惠金融、交通出行、医疗健康、环境保护、教育等领域数据，形成一批数据开放创新应用。</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（3）推动经济领域数据创新应用</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建立完善“产业大脑”多元数据融合应用体制机制，开展生产质量控制、供应链管理、工艺改进、新产品开发等数据服务。探索建立激励相容的公共数据、企业数据和社会数据融合机制，全面促进大数据资源价值能级释放，撬动相关数字产业发展。</w:t>
      </w:r>
    </w:p>
    <w:p>
      <w:pPr>
        <w:pStyle w:val="5"/>
        <w:spacing w:before="156" w:beforeLines="50" w:after="156" w:afterLines="50" w:line="560" w:lineRule="exact"/>
        <w:rPr>
          <w:rFonts w:ascii="仿宋" w:hAnsi="仿宋" w:eastAsia="仿宋"/>
        </w:rPr>
      </w:pPr>
      <w:bookmarkStart w:id="95" w:name="_Toc14564"/>
      <w:bookmarkStart w:id="96" w:name="_Toc4991"/>
      <w:r>
        <w:rPr>
          <w:rFonts w:hint="eastAsia" w:ascii="仿宋" w:hAnsi="仿宋" w:eastAsia="仿宋"/>
        </w:rPr>
        <w:t>3.强化网络安全和数据防护</w:t>
      </w:r>
      <w:bookmarkEnd w:id="95"/>
      <w:bookmarkEnd w:id="96"/>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（1）健全网络安全保障体系</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完善网络安全工作责任制，落实网络安全等级保护2.0、涉密网络分级保护、商用密码应用安全评估等工作，构建常态化、制度化安全风险评估、快速应急响应及处置机制。积极参与全市网络安全攻防演练大赛和网络安全比赛，加强技术交流，提升全市网络安全对抗水平。</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（2）健全数据安全保障体系</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围绕数据采集、传输、存储、处理、交换、销毁等环节，构筑公共数据全生命周期安全防护体系。推动数据分类分级管理，强化数据安全风险评估、监测预警和应急处置。落实个人信息保护制度规范</w:t>
      </w:r>
      <w:r>
        <w:rPr>
          <w:rFonts w:hint="eastAsia" w:ascii="仿宋" w:hAnsi="仿宋" w:eastAsia="仿宋"/>
          <w:kern w:val="2"/>
          <w:sz w:val="32"/>
          <w:szCs w:val="32"/>
          <w:lang w:eastAsia="zh-CN"/>
        </w:rPr>
        <w:t>，规范身份信息、隐私信息、生物特征信息的采集、传输和使用，加强对收集使用个人信息的安全监管能力。</w:t>
      </w:r>
      <w:r>
        <w:rPr>
          <w:rFonts w:hint="eastAsia" w:ascii="仿宋" w:hAnsi="仿宋" w:eastAsia="仿宋"/>
          <w:kern w:val="2"/>
          <w:sz w:val="32"/>
          <w:szCs w:val="32"/>
        </w:rPr>
        <w:t>落实等级保护、安全测评、电子认证、应急管理等基础制度，明确数据安全的保护范围、主体、责任和措施，加强对涉及国家利益、公共安全、商业秘密、个人隐私等重要信息的保护，提升数据安全保障能力。</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（3）建立健全安全防御机制</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建立风险预警机制，建立数据安全应急防控机制，建立容灾备份、安全评价、日常巡检等数据安全防护管理制度和数据安全审计制度，提升数据安全防护能力。打造基于主动防御理念的数字经济安全体系架构，面向互联网、工业、金融、能源、基础设施等重点行业和领域，加强安全态势感知和持续防御能力。</w:t>
      </w:r>
    </w:p>
    <w:p>
      <w:pPr>
        <w:spacing w:before="156" w:beforeLines="50" w:after="156" w:afterLines="50" w:line="560" w:lineRule="exact"/>
        <w:ind w:firstLine="640" w:firstLineChars="200"/>
        <w:outlineLvl w:val="1"/>
        <w:rPr>
          <w:rFonts w:hint="eastAsia" w:ascii="楷体" w:hAnsi="楷体" w:eastAsia="楷体" w:cs="楷体"/>
          <w:kern w:val="2"/>
          <w:sz w:val="32"/>
          <w:szCs w:val="32"/>
        </w:rPr>
      </w:pPr>
      <w:bookmarkStart w:id="97" w:name="_Toc3853"/>
      <w:bookmarkStart w:id="98" w:name="_Toc25951"/>
      <w:r>
        <w:rPr>
          <w:rFonts w:hint="eastAsia" w:ascii="楷体" w:hAnsi="楷体" w:eastAsia="楷体" w:cs="楷体"/>
          <w:kern w:val="2"/>
          <w:sz w:val="32"/>
          <w:szCs w:val="32"/>
        </w:rPr>
        <w:t>（五）数字新基建，夯实网络信息基础</w:t>
      </w:r>
      <w:bookmarkEnd w:id="97"/>
      <w:bookmarkEnd w:id="98"/>
    </w:p>
    <w:p>
      <w:pPr>
        <w:pStyle w:val="5"/>
        <w:spacing w:before="156" w:beforeLines="50" w:after="156" w:afterLines="50" w:line="560" w:lineRule="exact"/>
        <w:rPr>
          <w:rFonts w:ascii="仿宋" w:hAnsi="仿宋" w:eastAsia="仿宋"/>
        </w:rPr>
      </w:pPr>
      <w:bookmarkStart w:id="99" w:name="_Toc6408"/>
      <w:bookmarkStart w:id="100" w:name="_Toc15979"/>
      <w:r>
        <w:rPr>
          <w:rFonts w:hint="eastAsia" w:ascii="仿宋" w:hAnsi="仿宋" w:eastAsia="仿宋"/>
        </w:rPr>
        <w:t>1.全面升级网络基础设施</w:t>
      </w:r>
      <w:bookmarkEnd w:id="99"/>
      <w:bookmarkEnd w:id="100"/>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（1）优化5G网络布局</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全面推进5G基站建设，实现5G网络、窄带物联网等新一代移动通信基础设施全市基础性覆盖；推进5G基站建设“一件事”集成改革，加大基站选址、用电等支持力度，推动基站共建共享</w:t>
      </w:r>
      <w:r>
        <w:rPr>
          <w:rFonts w:hint="eastAsia" w:ascii="仿宋" w:hAnsi="仿宋" w:eastAsia="仿宋"/>
          <w:kern w:val="2"/>
          <w:sz w:val="32"/>
          <w:szCs w:val="32"/>
          <w:lang w:eastAsia="zh-CN"/>
        </w:rPr>
        <w:t>，</w:t>
      </w:r>
      <w:r>
        <w:rPr>
          <w:rFonts w:hint="eastAsia" w:ascii="仿宋" w:hAnsi="仿宋" w:eastAsia="仿宋"/>
          <w:kern w:val="2"/>
          <w:sz w:val="32"/>
          <w:szCs w:val="32"/>
        </w:rPr>
        <w:t>推动5G商用部署和规模应用，前瞻布局第六代移动通信（6G）网络技术储备，加大6G技术研发支持力度作。争取到2025年，全市建成5G基站4970个。</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（2）优化升级城域网络</w:t>
      </w:r>
    </w:p>
    <w:p>
      <w:pPr>
        <w:spacing w:line="560" w:lineRule="exact"/>
        <w:ind w:firstLine="640" w:firstLineChars="200"/>
        <w:rPr>
          <w:rFonts w:hint="eastAsia" w:ascii="仿宋" w:hAnsi="仿宋" w:eastAsia="仿宋"/>
          <w:kern w:val="2"/>
          <w:sz w:val="32"/>
          <w:szCs w:val="32"/>
          <w:lang w:eastAsia="zh-CN"/>
        </w:rPr>
      </w:pPr>
      <w:r>
        <w:rPr>
          <w:rFonts w:hint="eastAsia" w:ascii="仿宋" w:hAnsi="仿宋" w:eastAsia="仿宋"/>
          <w:kern w:val="2"/>
          <w:sz w:val="32"/>
          <w:szCs w:val="32"/>
        </w:rPr>
        <w:t>打造信息网络“高速公路”，持续推进城市千兆网络升级和光纤到户建设，优化完善城域网和接入网，推进新一代超大容量、超长距离、智能调度的光传输网建设，拓宽城市互联网出口带宽，加快部署基于IPv6的下一代互联网，推进网络、应用、终端全面改造升级</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到2025年，</w:t>
      </w:r>
      <w:r>
        <w:rPr>
          <w:rFonts w:hint="eastAsia" w:ascii="仿宋" w:hAnsi="仿宋" w:eastAsia="仿宋"/>
          <w:kern w:val="2"/>
          <w:sz w:val="32"/>
          <w:szCs w:val="32"/>
        </w:rPr>
        <w:t>实现城市地区和重点乡镇千兆光纤网络</w:t>
      </w:r>
      <w:r>
        <w:rPr>
          <w:rFonts w:hint="eastAsia" w:ascii="仿宋" w:hAnsi="仿宋" w:eastAsia="仿宋"/>
          <w:kern w:val="2"/>
          <w:sz w:val="32"/>
          <w:szCs w:val="32"/>
          <w:lang w:val="en-US" w:eastAsia="zh-CN"/>
        </w:rPr>
        <w:t>基本</w:t>
      </w:r>
      <w:r>
        <w:rPr>
          <w:rFonts w:hint="eastAsia" w:ascii="仿宋" w:hAnsi="仿宋" w:eastAsia="仿宋"/>
          <w:kern w:val="2"/>
          <w:sz w:val="32"/>
          <w:szCs w:val="32"/>
        </w:rPr>
        <w:t>全覆盖</w:t>
      </w:r>
      <w:r>
        <w:rPr>
          <w:rFonts w:hint="eastAsia" w:ascii="仿宋" w:hAnsi="仿宋" w:eastAsia="仿宋"/>
          <w:kern w:val="2"/>
          <w:sz w:val="32"/>
          <w:szCs w:val="32"/>
          <w:lang w:eastAsia="zh-CN"/>
        </w:rPr>
        <w:t>。</w:t>
      </w:r>
    </w:p>
    <w:p>
      <w:pPr>
        <w:pStyle w:val="5"/>
        <w:spacing w:before="156" w:beforeLines="50" w:after="156" w:afterLines="50" w:line="560" w:lineRule="exact"/>
        <w:rPr>
          <w:rFonts w:ascii="仿宋" w:hAnsi="仿宋" w:eastAsia="仿宋"/>
        </w:rPr>
      </w:pPr>
      <w:bookmarkStart w:id="101" w:name="_Toc24113"/>
      <w:bookmarkStart w:id="102" w:name="_Toc1438"/>
      <w:r>
        <w:rPr>
          <w:rFonts w:hint="eastAsia" w:ascii="仿宋" w:hAnsi="仿宋" w:eastAsia="仿宋"/>
        </w:rPr>
        <w:t>2.部署领先的算力及新技术基础设施</w:t>
      </w:r>
      <w:bookmarkEnd w:id="101"/>
      <w:bookmarkEnd w:id="102"/>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（1）深化大数据中心建设</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构建全市一体化大数据中心体系，优化数据中心建设布局，加快浙江云谷磐石云数据中心建设运营，建成规模化、高可扩展性、分布式、高效节能的区域大数据中心，为乐清智慧城市建设提供云平台支撑。落实国家碳达峰、碳中和工作部署，按照绿色、低碳、集约、高效的原则，推进绿色数字中心建设，加快推进数据中心节能改造。</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（2）建设领先的算力设施</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推进“乐清云计算”建设，加快云计算中心、云服务平台建设，鼓励引导云计算推广应用，推动乐清云计算创新产业健康发展；深化行业特色云平台建设，建成一批在全省具有影响力的行业云应用平台。加速引进和建设北京超算、飞诺门阵，合力建成全省规模最大的通用算力中心，率先成为华东地区最大的超算云核心节点。加快华为区块链产业园建设。</w:t>
      </w:r>
    </w:p>
    <w:p>
      <w:pPr>
        <w:pStyle w:val="5"/>
        <w:spacing w:before="156" w:beforeLines="50" w:after="156" w:afterLines="50" w:line="560" w:lineRule="exact"/>
        <w:rPr>
          <w:rFonts w:ascii="仿宋" w:hAnsi="仿宋" w:eastAsia="仿宋"/>
        </w:rPr>
      </w:pPr>
      <w:bookmarkStart w:id="103" w:name="_Toc24281"/>
      <w:bookmarkStart w:id="104" w:name="_Toc27372"/>
      <w:r>
        <w:rPr>
          <w:rFonts w:hint="eastAsia" w:ascii="仿宋" w:hAnsi="仿宋" w:eastAsia="仿宋"/>
        </w:rPr>
        <w:t>3.构建工业互联网网络体系</w:t>
      </w:r>
      <w:bookmarkEnd w:id="103"/>
      <w:bookmarkEnd w:id="104"/>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（1）推进企业内外网升级改造</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推进企业内网升级，支持工业设备网络化改造升级，探索在既有系统上叠加部署新网络、新系统，推动信息技术（IT）网络与生产控制（OT）网络融合</w:t>
      </w:r>
      <w:r>
        <w:rPr>
          <w:rFonts w:hint="eastAsia" w:ascii="仿宋" w:hAnsi="仿宋" w:eastAsia="仿宋"/>
          <w:kern w:val="2"/>
          <w:sz w:val="32"/>
          <w:szCs w:val="32"/>
          <w:lang w:eastAsia="zh-CN"/>
        </w:rPr>
        <w:t>，</w:t>
      </w:r>
      <w:r>
        <w:rPr>
          <w:rFonts w:hint="eastAsia" w:ascii="仿宋" w:hAnsi="仿宋" w:eastAsia="仿宋"/>
          <w:kern w:val="2"/>
          <w:sz w:val="32"/>
          <w:szCs w:val="32"/>
        </w:rPr>
        <w:t>鼓励工业企业利用5G、时间敏感网络（TSN）等技术改造升级企业内外网。开展企业外网建设，推动基础电信企业提供高性能、高可靠、高灵活、高安全的网络服务。</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（2）完善工业互联网标识解析体系</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鼓励在电气、电子、仪器仪表等特色优势行业，培育若干工业互联网标识解析二级节点，加快标识解析在工业产品全生命周期管理等服务应用。</w:t>
      </w:r>
    </w:p>
    <w:p>
      <w:pPr>
        <w:pStyle w:val="5"/>
        <w:spacing w:before="156" w:beforeLines="50" w:after="156" w:afterLines="50" w:line="560" w:lineRule="exact"/>
        <w:rPr>
          <w:rFonts w:ascii="仿宋" w:hAnsi="仿宋" w:eastAsia="仿宋"/>
        </w:rPr>
      </w:pPr>
      <w:bookmarkStart w:id="105" w:name="_Toc24457"/>
      <w:bookmarkStart w:id="106" w:name="_Toc5414"/>
      <w:r>
        <w:rPr>
          <w:rFonts w:hint="eastAsia" w:ascii="仿宋" w:hAnsi="仿宋" w:eastAsia="仿宋"/>
        </w:rPr>
        <w:t>4.建设融合型智能化基础设施</w:t>
      </w:r>
      <w:bookmarkEnd w:id="105"/>
      <w:bookmarkEnd w:id="106"/>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（1）构建新型智慧城市数字底座</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推动城市信息模型（CIM）基础平台建设，支持城市规划建设管理多场景应用，促进城市基础设施数字化和城市建设数据汇聚。</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（2）部署智能感知设施</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建设高速泛在、云网融合、智能敏捷、绿色低碳、安全可控的智能化综合性数字信息基础设施。加快建设城市全时空感知、多维度监测的智能感知体系，全面部署道路桥梁、市政设施、交通运输、地下管网、生态环境、安全生产、治安防控、气象监测等智能感知设施，同步建设智能化管理平台，实现地下、地面、空中设施设备的视频、物联感知数据统一接入、集中管理、远程调控和数据共享，为治理决策制定提供数据支撑。</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（3）加快传统基础设施智慧升级</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全面升级传统基础设施，加快传统基础设施“数字+”“智能+”升级，推进能源设施智能化升级，推动智慧电网、智慧管网、智能充电桩、光伏微电站等建设，构建多能协同的能源数字管理平台、多元融合高弹性能源互联网。</w:t>
      </w:r>
    </w:p>
    <w:p>
      <w:pPr>
        <w:spacing w:before="156" w:beforeLines="50" w:after="156" w:afterLines="50" w:line="560" w:lineRule="exact"/>
        <w:ind w:firstLine="640" w:firstLineChars="200"/>
        <w:outlineLvl w:val="1"/>
        <w:rPr>
          <w:rFonts w:hint="eastAsia" w:ascii="楷体" w:hAnsi="楷体" w:eastAsia="楷体" w:cs="楷体"/>
          <w:kern w:val="2"/>
          <w:sz w:val="32"/>
          <w:szCs w:val="32"/>
        </w:rPr>
      </w:pPr>
      <w:bookmarkStart w:id="107" w:name="_Toc21621"/>
      <w:r>
        <w:rPr>
          <w:rFonts w:hint="eastAsia" w:ascii="楷体" w:hAnsi="楷体" w:eastAsia="楷体" w:cs="楷体"/>
          <w:kern w:val="2"/>
          <w:sz w:val="32"/>
          <w:szCs w:val="32"/>
        </w:rPr>
        <w:t>（六）要素高级化，提升数字科技支撑水平</w:t>
      </w:r>
      <w:bookmarkEnd w:id="107"/>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2"/>
        <w:rPr>
          <w:rFonts w:hint="eastAsia" w:ascii="仿宋" w:hAnsi="仿宋" w:eastAsia="仿宋" w:cs="仿宋"/>
          <w:b/>
          <w:sz w:val="32"/>
          <w:szCs w:val="32"/>
        </w:rPr>
      </w:pPr>
      <w:bookmarkStart w:id="108" w:name="_Toc21463"/>
      <w:r>
        <w:rPr>
          <w:rFonts w:hint="eastAsia" w:ascii="仿宋" w:hAnsi="仿宋" w:eastAsia="仿宋" w:cs="仿宋"/>
          <w:b/>
          <w:sz w:val="32"/>
          <w:szCs w:val="32"/>
        </w:rPr>
        <w:t>1</w:t>
      </w:r>
      <w:r>
        <w:rPr>
          <w:rFonts w:ascii="仿宋" w:hAnsi="仿宋" w:eastAsia="仿宋" w:cs="仿宋"/>
          <w:b/>
          <w:sz w:val="32"/>
          <w:szCs w:val="32"/>
        </w:rPr>
        <w:t>.</w:t>
      </w:r>
      <w:r>
        <w:rPr>
          <w:rFonts w:hint="eastAsia" w:ascii="仿宋" w:hAnsi="仿宋" w:eastAsia="仿宋" w:cs="仿宋"/>
          <w:b/>
          <w:sz w:val="32"/>
          <w:szCs w:val="32"/>
        </w:rPr>
        <w:t>完善数字科技创新水平</w:t>
      </w:r>
      <w:bookmarkEnd w:id="108"/>
    </w:p>
    <w:p>
      <w:pPr>
        <w:spacing w:before="156" w:beforeLines="50" w:after="156" w:afterLines="50" w:line="560" w:lineRule="exact"/>
        <w:ind w:firstLine="643" w:firstLineChars="200"/>
        <w:outlineLvl w:val="3"/>
        <w:rPr>
          <w:rFonts w:hint="eastAsia" w:ascii="仿宋" w:hAnsi="仿宋" w:eastAsia="仿宋" w:cs="仿宋"/>
          <w:b/>
          <w:sz w:val="32"/>
          <w:szCs w:val="32"/>
        </w:rPr>
      </w:pPr>
      <w:r>
        <w:rPr>
          <w:rFonts w:hint="eastAsia" w:ascii="仿宋" w:hAnsi="仿宋" w:eastAsia="仿宋" w:cs="仿宋"/>
          <w:b/>
          <w:sz w:val="32"/>
          <w:szCs w:val="32"/>
        </w:rPr>
        <w:t>（1）突破产业关键核心技术</w:t>
      </w:r>
    </w:p>
    <w:p>
      <w:pPr>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以数字经济发展的重大需求和重大任务为牵引，聚焦重点产业集群和标志性产业链，实施前瞻性产业技术创新专项，加强集成电路、核心软件、移动互联网、云计算与大数据、新型显示等重点领域的“卡脖子”技术攻关， 鼓励领军企业承担“尖峰、尖兵、领雁、领航”重点研发攻关项目，承接一批国家级、省级、市级重大科技项目，开发掌握一批关键核心技术和战略性标志产品。</w:t>
      </w:r>
    </w:p>
    <w:p>
      <w:pPr>
        <w:spacing w:before="156" w:beforeLines="50" w:after="156" w:afterLines="50" w:line="560" w:lineRule="exact"/>
        <w:ind w:firstLine="643" w:firstLineChars="200"/>
        <w:outlineLvl w:val="3"/>
        <w:rPr>
          <w:rFonts w:hint="eastAsia" w:ascii="仿宋" w:hAnsi="仿宋" w:eastAsia="仿宋"/>
          <w:kern w:val="2"/>
          <w:sz w:val="32"/>
          <w:szCs w:val="32"/>
        </w:rPr>
      </w:pPr>
      <w:r>
        <w:rPr>
          <w:rFonts w:hint="eastAsia" w:ascii="仿宋" w:hAnsi="仿宋" w:eastAsia="仿宋" w:cs="仿宋"/>
          <w:b/>
          <w:sz w:val="32"/>
          <w:szCs w:val="32"/>
        </w:rPr>
        <w:t>（2）高标准布局产业创新平台</w:t>
      </w:r>
    </w:p>
    <w:p>
      <w:pPr>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发挥长三角电气工程师创新中心、乐清物联网传感器产业创新服务综合体、省智能电气制造业创新中心等省级平台引领作用，重点围绕新一代信息技术、智能电气、高端装备制造等优势领域系统布局省级产业创新中心、技术创新中心、工程研究中心、制造业创新中心等平台载体。深化产学研合作，推进产学研用一体化发展，强化政府及企业与高校和科研院所等机构的深度合作，支持有条件的企业牵头组建产学研协同的创新联合体，承接重大科研项目。强化与浙江大学、复旦大学、华北电力、西安交大、西北工业大学等高校的“校地合作”，加快创新成果的落地转化。组建物联网、集成电路、智能装备产业链上下游企业共同体，加快关键核心技术攻关成果的转移转化和创新应用，建设具有国际竞争力的产学研深度融合技术创新和产业创新体系。</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（3）打造创新孵化链条</w:t>
      </w:r>
    </w:p>
    <w:p>
      <w:pPr>
        <w:pStyle w:val="29"/>
        <w:spacing w:line="560" w:lineRule="exact"/>
        <w:ind w:firstLine="640"/>
        <w:rPr>
          <w:rFonts w:ascii="仿宋" w:hAnsi="仿宋" w:eastAsia="仿宋"/>
        </w:rPr>
      </w:pPr>
      <w:r>
        <w:rPr>
          <w:rFonts w:hint="eastAsia" w:ascii="仿宋" w:hAnsi="仿宋" w:eastAsia="仿宋"/>
        </w:rPr>
        <w:t>发展具备产业细分领域垂直整合能力的专业化众创空间，完善“众创空间-孵化器-加速器-产业园”的全链条孵化体系，实现团队孵化-企业孵化-产业孵化的全链条、一体化服务。进一步深化精密模具、物联网传感器、电子信息等产业创新服务综合体建设，完善科技研发、检验检测、转化应用等公共服务。引导产业技术研究院、行业公共技术服务平台、技术转移机构等机构组建专业孵化器；引导企业、高校等利用闲置厂房、老旧楼宇等运营创客空间、孵化器、加速器等，建设多元化、多层次的创业孵化平台体系。</w:t>
      </w:r>
    </w:p>
    <w:p>
      <w:pPr>
        <w:pStyle w:val="5"/>
        <w:spacing w:before="156" w:beforeLines="50" w:after="156" w:afterLines="50" w:line="560" w:lineRule="exact"/>
        <w:rPr>
          <w:rFonts w:hint="eastAsia" w:ascii="仿宋" w:hAnsi="仿宋" w:eastAsia="仿宋"/>
        </w:rPr>
      </w:pPr>
      <w:bookmarkStart w:id="109" w:name="_Toc30700"/>
      <w:r>
        <w:rPr>
          <w:rFonts w:hint="eastAsia" w:ascii="仿宋" w:hAnsi="仿宋" w:eastAsia="仿宋"/>
        </w:rPr>
        <w:t>2</w:t>
      </w:r>
      <w:r>
        <w:rPr>
          <w:rFonts w:ascii="仿宋" w:hAnsi="仿宋" w:eastAsia="仿宋"/>
        </w:rPr>
        <w:t>.</w:t>
      </w:r>
      <w:r>
        <w:rPr>
          <w:rFonts w:hint="eastAsia" w:ascii="仿宋" w:hAnsi="仿宋" w:eastAsia="仿宋"/>
        </w:rPr>
        <w:t>健全成果转化服务体系</w:t>
      </w:r>
      <w:bookmarkEnd w:id="109"/>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（1）加快创新成果转化</w:t>
      </w:r>
    </w:p>
    <w:p>
      <w:pPr>
        <w:pStyle w:val="29"/>
        <w:spacing w:line="560" w:lineRule="exact"/>
        <w:ind w:firstLine="640"/>
        <w:rPr>
          <w:rFonts w:hint="eastAsia" w:ascii="仿宋" w:hAnsi="仿宋" w:eastAsia="仿宋"/>
        </w:rPr>
      </w:pPr>
      <w:r>
        <w:rPr>
          <w:rFonts w:hint="eastAsia" w:ascii="仿宋" w:hAnsi="仿宋" w:eastAsia="仿宋"/>
        </w:rPr>
        <w:t>完善科技成果转移转化产业化创新服务链，放大国家技术转移东部中心乐清分中心效能。以加速技术转移和科技成果转化为核心，打通与上海的技术成果转移通道，导入沪上科技服务资源，聚集一批高端化、专业化、市场化的技术转移服务机构，打造一个功能完备、环境良好的技术转移生态系统。将国家技术转移东部中心资源导流到乐清，搭建一个集信息共享、技术交易服务、技术转移、技术转移经纪人培育、知识产权服务、技术转移大数据于一体的区域技术转移平台。</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（2）完善科技大市场</w:t>
      </w:r>
    </w:p>
    <w:p>
      <w:pPr>
        <w:pStyle w:val="29"/>
        <w:spacing w:line="560" w:lineRule="exact"/>
        <w:ind w:firstLine="640"/>
        <w:rPr>
          <w:rFonts w:ascii="仿宋" w:hAnsi="仿宋" w:eastAsia="仿宋"/>
        </w:rPr>
      </w:pPr>
      <w:r>
        <w:rPr>
          <w:rFonts w:hint="eastAsia" w:ascii="仿宋" w:hAnsi="仿宋" w:eastAsia="仿宋"/>
        </w:rPr>
        <w:t>推进网上技术市场3.0建设，打造集“展示、交易、服务、共享、交流”于一体的科技交流、成果交易公共服务平台。健全科技成果评价体系，完善技术类无形资产挂牌交易、公开拍卖与成交信息公示制度。探索争创科技成果分类评价和所有权收益权改革试点。</w:t>
      </w:r>
    </w:p>
    <w:p>
      <w:pPr>
        <w:spacing w:before="156" w:beforeLines="50" w:after="156" w:afterLines="50" w:line="560" w:lineRule="exact"/>
        <w:ind w:firstLine="643" w:firstLineChars="200"/>
        <w:outlineLvl w:val="3"/>
        <w:rPr>
          <w:rFonts w:ascii="仿宋" w:hAnsi="仿宋" w:eastAsia="仿宋" w:cs="仿宋"/>
          <w:b/>
          <w:sz w:val="32"/>
          <w:szCs w:val="32"/>
        </w:rPr>
      </w:pPr>
      <w:r>
        <w:rPr>
          <w:rFonts w:hint="eastAsia" w:ascii="仿宋" w:hAnsi="仿宋" w:eastAsia="仿宋" w:cs="仿宋"/>
          <w:b/>
          <w:sz w:val="32"/>
          <w:szCs w:val="32"/>
        </w:rPr>
        <w:t>（3）强化知识产权保护</w:t>
      </w:r>
    </w:p>
    <w:p>
      <w:pPr>
        <w:pStyle w:val="29"/>
        <w:spacing w:line="560" w:lineRule="exact"/>
        <w:ind w:firstLine="640"/>
        <w:rPr>
          <w:rFonts w:ascii="仿宋" w:hAnsi="仿宋" w:eastAsia="仿宋"/>
        </w:rPr>
      </w:pPr>
      <w:r>
        <w:rPr>
          <w:rFonts w:hint="eastAsia" w:ascii="仿宋" w:hAnsi="仿宋" w:eastAsia="仿宋"/>
        </w:rPr>
        <w:t>深化国家知识产权强县工程示范县市建设。推进知识产权管理体制机制改革，实行严格的知识产权保护，促进知识产权创造和运用。健全知识产权预警与维权援助机制，加大知识产权违法惩戒力度，切实保护好企业创新积极性。争取成立中国乐清（智能电气）知识产权快速维权中心。</w:t>
      </w:r>
    </w:p>
    <w:p>
      <w:pPr>
        <w:pStyle w:val="5"/>
        <w:spacing w:before="156" w:beforeLines="50" w:after="156" w:afterLines="50" w:line="560" w:lineRule="exact"/>
        <w:rPr>
          <w:rFonts w:ascii="仿宋" w:hAnsi="仿宋" w:eastAsia="仿宋"/>
        </w:rPr>
      </w:pPr>
      <w:bookmarkStart w:id="110" w:name="_Toc12015"/>
      <w:r>
        <w:rPr>
          <w:rFonts w:hint="eastAsia" w:ascii="仿宋" w:hAnsi="仿宋" w:eastAsia="仿宋"/>
        </w:rPr>
        <w:t>3.加强数字人才队伍建设</w:t>
      </w:r>
      <w:bookmarkEnd w:id="110"/>
    </w:p>
    <w:p>
      <w:pPr>
        <w:spacing w:before="156" w:beforeLines="50" w:after="156" w:afterLines="50" w:line="560" w:lineRule="exact"/>
        <w:ind w:firstLine="643" w:firstLineChars="200"/>
        <w:outlineLvl w:val="3"/>
        <w:rPr>
          <w:rFonts w:hint="eastAsia" w:ascii="仿宋" w:hAnsi="仿宋" w:eastAsia="仿宋" w:cs="仿宋"/>
          <w:b/>
          <w:sz w:val="32"/>
          <w:szCs w:val="32"/>
        </w:rPr>
      </w:pPr>
      <w:r>
        <w:rPr>
          <w:rFonts w:hint="eastAsia" w:ascii="仿宋" w:hAnsi="仿宋" w:eastAsia="仿宋" w:cs="仿宋"/>
          <w:b/>
          <w:sz w:val="32"/>
          <w:szCs w:val="32"/>
        </w:rPr>
        <w:t>（1）提升企业家数字素养</w:t>
      </w:r>
    </w:p>
    <w:p>
      <w:pPr>
        <w:pStyle w:val="29"/>
        <w:spacing w:line="560" w:lineRule="exact"/>
        <w:ind w:firstLine="640"/>
        <w:rPr>
          <w:rFonts w:hint="eastAsia" w:ascii="仿宋" w:hAnsi="仿宋" w:eastAsia="仿宋"/>
        </w:rPr>
      </w:pPr>
      <w:r>
        <w:rPr>
          <w:rFonts w:hint="eastAsia" w:ascii="仿宋" w:hAnsi="仿宋" w:eastAsia="仿宋"/>
        </w:rPr>
        <w:t>针对乐清民营中小企业数量多、数字化思维弱等状况，充分发挥行业协会和第三方服务机构作用，实施企业经营管理人员数字素质提升计划，组织开展企业领导层数字化发展培训，激发企业数字化转型的意愿与动力。每年定期组织企业家和高层管理人员到深圳、上海、杭州等先进发达地区考察学习，拓展企业高层次管理人才全球视野、战略思维和创新能力，打造一批数字化转型领军人物，形成适应数字经济时代的高水平现代化企业管理者、“创二代”队伍。</w:t>
      </w:r>
    </w:p>
    <w:p>
      <w:pPr>
        <w:spacing w:before="156" w:beforeLines="50" w:after="156" w:afterLines="50" w:line="560" w:lineRule="exact"/>
        <w:ind w:firstLine="643" w:firstLineChars="200"/>
        <w:outlineLvl w:val="3"/>
        <w:rPr>
          <w:rFonts w:hint="eastAsia" w:ascii="仿宋" w:hAnsi="仿宋" w:eastAsia="仿宋" w:cs="仿宋"/>
          <w:b/>
          <w:sz w:val="32"/>
          <w:szCs w:val="32"/>
        </w:rPr>
      </w:pPr>
      <w:r>
        <w:rPr>
          <w:rFonts w:hint="eastAsia" w:ascii="仿宋" w:hAnsi="仿宋" w:eastAsia="仿宋" w:cs="仿宋"/>
          <w:b/>
          <w:sz w:val="32"/>
          <w:szCs w:val="32"/>
        </w:rPr>
        <w:t>（2）大力引培高端数字人才</w:t>
      </w:r>
    </w:p>
    <w:p>
      <w:pPr>
        <w:pStyle w:val="29"/>
        <w:spacing w:line="560" w:lineRule="exact"/>
        <w:ind w:firstLine="640"/>
        <w:rPr>
          <w:rFonts w:hint="eastAsia" w:ascii="仿宋" w:hAnsi="仿宋" w:eastAsia="仿宋"/>
        </w:rPr>
      </w:pPr>
      <w:r>
        <w:rPr>
          <w:rFonts w:hint="eastAsia" w:ascii="仿宋" w:hAnsi="仿宋" w:eastAsia="仿宋"/>
        </w:rPr>
        <w:t>聚焦物联网、工业软件、集成电路、大数据、云计算、工业互联网、区块链、人工智能、量子通信等重点领域，依托重大创新平台载体，优化高水平数字人才引进政策和管理方式，加大高端一流人才和领军团队的引进力度。依托“高校毕业生招引8条”“博士硕士攻坚8条”“引才计划人才攻坚8条”“‘凤栖雁山’人才特殊支持计划”等重磅引才专项政策，大力引进海内外高层次人才、领军型团队和人才、省级以上“引才计划”人才、博士硕士等，实施“柔性引才”，支持领军人才带团队、带技术、带项目在乐清落地。</w:t>
      </w:r>
    </w:p>
    <w:p>
      <w:pPr>
        <w:spacing w:before="156" w:beforeLines="50" w:after="156" w:afterLines="50" w:line="560" w:lineRule="exact"/>
        <w:ind w:firstLine="643" w:firstLineChars="200"/>
        <w:outlineLvl w:val="3"/>
        <w:rPr>
          <w:rFonts w:hint="eastAsia" w:ascii="仿宋" w:hAnsi="仿宋" w:eastAsia="仿宋" w:cs="仿宋"/>
          <w:b/>
          <w:sz w:val="32"/>
          <w:szCs w:val="32"/>
        </w:rPr>
      </w:pPr>
      <w:r>
        <w:rPr>
          <w:rFonts w:hint="eastAsia" w:ascii="仿宋" w:hAnsi="仿宋" w:eastAsia="仿宋" w:cs="仿宋"/>
          <w:b/>
          <w:sz w:val="32"/>
          <w:szCs w:val="32"/>
        </w:rPr>
        <w:t>（3）壮大实用型“数字工匠”队伍</w:t>
      </w:r>
    </w:p>
    <w:p>
      <w:pPr>
        <w:pStyle w:val="29"/>
        <w:spacing w:line="560" w:lineRule="exact"/>
        <w:ind w:firstLine="640"/>
        <w:rPr>
          <w:rFonts w:ascii="仿宋" w:hAnsi="仿宋" w:eastAsia="仿宋"/>
        </w:rPr>
      </w:pPr>
      <w:r>
        <w:rPr>
          <w:rFonts w:hint="eastAsia" w:ascii="仿宋" w:hAnsi="仿宋" w:eastAsia="仿宋"/>
        </w:rPr>
        <w:t>推动数字经济职业技能培训，组织智能制造、工业互联网等工业和信息化企业一线从业人员开展新一代信息技术培训，培育既精通本行业专业技能，又掌握数字技能的“数字工匠”和新型卓越工程师。加大与温州大学、深圳职业技术学院等高校合作，建设专业人才实训基地等产教融合创新平台，鼓励开展“订单式”培养模式，加强数字经济工程技术和应用技能型人才培育。鼓励企业在内部建设CIO和CDO制度，建立复合型数字化员工内部选拔培养体系和人才开发投入体系。</w:t>
      </w:r>
    </w:p>
    <w:p>
      <w:pPr>
        <w:pStyle w:val="3"/>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黑体" w:hAnsi="黑体" w:eastAsia="黑体" w:cs="黑体"/>
        </w:rPr>
      </w:pPr>
      <w:bookmarkStart w:id="111" w:name="_Toc16975"/>
      <w:r>
        <w:rPr>
          <w:rFonts w:hint="eastAsia" w:ascii="黑体" w:hAnsi="黑体" w:eastAsia="黑体" w:cs="黑体"/>
        </w:rPr>
        <w:t>四、保障举措</w:t>
      </w:r>
      <w:bookmarkEnd w:id="111"/>
    </w:p>
    <w:p>
      <w:pPr>
        <w:pStyle w:val="4"/>
        <w:spacing w:before="156" w:beforeLines="50" w:after="156" w:afterLines="50" w:line="560" w:lineRule="exact"/>
        <w:rPr>
          <w:rFonts w:hint="eastAsia" w:ascii="楷体" w:hAnsi="楷体" w:eastAsia="楷体" w:cs="楷体"/>
        </w:rPr>
      </w:pPr>
      <w:bookmarkStart w:id="112" w:name="_Toc14439"/>
      <w:r>
        <w:rPr>
          <w:rFonts w:hint="eastAsia" w:ascii="楷体" w:hAnsi="楷体" w:eastAsia="楷体" w:cs="楷体"/>
        </w:rPr>
        <w:t>（一）加强统筹协调</w:t>
      </w:r>
      <w:bookmarkEnd w:id="112"/>
    </w:p>
    <w:p>
      <w:pPr>
        <w:pStyle w:val="29"/>
        <w:spacing w:line="560" w:lineRule="exact"/>
        <w:ind w:firstLine="640"/>
        <w:rPr>
          <w:rFonts w:ascii="仿宋" w:hAnsi="仿宋" w:eastAsia="仿宋"/>
        </w:rPr>
      </w:pPr>
      <w:r>
        <w:rPr>
          <w:rFonts w:hint="eastAsia" w:ascii="仿宋" w:hAnsi="仿宋" w:eastAsia="仿宋"/>
        </w:rPr>
        <w:t>充分发挥市数字经济发展领导小组作用，统筹推进全市数字经济发展，加强对数字经济发展重大事项的规划指导、统筹协调。依托领导小组办公室，推进具体事项的监督执行，督促全市各有关部门、各平台（街道）推进数字经济发展规划的实施。发改局重点加强重大项目统筹建设，加紧布局建设一批数字经济重大创新平台和产业集群（基地）；市科技局重点引导科研力量推动核心数字技术突破；市经信局引导扶持物联网、云计算等新兴产业发展，聚焦数字化改造和工业互联网应用，做好制造业数字化转型升级；市投资促进局重点加大数字经济招商力度，促进数字经济龙头企业和重大项目落地；市财政局重点加强财政资金统筹，探索设立数字经济发展基金；市大数据局推进治理数字化，同时做好政府部门数据资源共享开放，为数字经济发展良好的营商环境和基础支撑；其它相关部门重点做好本行业本领域数字化融合提升工作。</w:t>
      </w:r>
    </w:p>
    <w:p>
      <w:pPr>
        <w:pStyle w:val="4"/>
        <w:spacing w:before="156" w:beforeLines="50" w:after="156" w:afterLines="50" w:line="560" w:lineRule="exact"/>
        <w:rPr>
          <w:rFonts w:hint="eastAsia" w:ascii="楷体" w:hAnsi="楷体" w:eastAsia="楷体" w:cs="楷体"/>
        </w:rPr>
      </w:pPr>
      <w:bookmarkStart w:id="113" w:name="_Toc31013"/>
      <w:r>
        <w:rPr>
          <w:rFonts w:hint="eastAsia" w:ascii="楷体" w:hAnsi="楷体" w:eastAsia="楷体" w:cs="楷体"/>
        </w:rPr>
        <w:t>（二）加大政策扶持</w:t>
      </w:r>
      <w:bookmarkEnd w:id="113"/>
    </w:p>
    <w:p>
      <w:pPr>
        <w:pStyle w:val="29"/>
        <w:spacing w:line="560" w:lineRule="exact"/>
        <w:ind w:firstLine="640"/>
        <w:rPr>
          <w:rFonts w:ascii="仿宋" w:hAnsi="仿宋" w:eastAsia="仿宋"/>
        </w:rPr>
      </w:pPr>
      <w:r>
        <w:rPr>
          <w:rFonts w:hint="eastAsia" w:ascii="仿宋" w:hAnsi="仿宋" w:eastAsia="仿宋"/>
        </w:rPr>
        <w:t>积极向上争取国家级、省级数字经济相关布局机会、政策支持和试点示范。强化政策导向，引导政策由结构性倾斜向支持关键环节的功能性政策为主、兼顾结构性政策的转变。不断加大政策扶持力度，重点在数字基础设施提升、市场主体培育、数字技术创新、数字经济产业平台建设等方面增加政策投入。加强数字经济领域用地、用能、环境容量等要素资源优化配置和重点保障，用地指标向数字经济企业倾斜，对重点投资项目开通绿色通道，采取一事一议政策，促进项目早日“落地”。强化金融政策支持，鼓励金融机构创新金融服务和融资产品，对符合国家和省数字经济产业政策的项目和企业给予融资支持，支持数字经济企业通过股改、并购重组等资本方式对接资本市场，推动符合条件的数字经济企业</w:t>
      </w:r>
      <w:r>
        <w:rPr>
          <w:rFonts w:hint="eastAsia" w:ascii="仿宋" w:hAnsi="仿宋" w:eastAsia="仿宋"/>
          <w:lang w:eastAsia="zh-CN"/>
        </w:rPr>
        <w:t>登录</w:t>
      </w:r>
      <w:r>
        <w:rPr>
          <w:rFonts w:hint="eastAsia" w:ascii="仿宋" w:hAnsi="仿宋" w:eastAsia="仿宋"/>
        </w:rPr>
        <w:t>多层次资本市场进行直接融资。</w:t>
      </w:r>
    </w:p>
    <w:p>
      <w:pPr>
        <w:pStyle w:val="4"/>
        <w:spacing w:before="156" w:beforeLines="50" w:after="156" w:afterLines="50" w:line="560" w:lineRule="exact"/>
        <w:rPr>
          <w:rFonts w:hint="eastAsia" w:ascii="楷体" w:hAnsi="楷体" w:eastAsia="楷体" w:cs="楷体"/>
        </w:rPr>
      </w:pPr>
      <w:bookmarkStart w:id="114" w:name="_Toc29390"/>
      <w:r>
        <w:rPr>
          <w:rFonts w:hint="eastAsia" w:ascii="楷体" w:hAnsi="楷体" w:eastAsia="楷体" w:cs="楷体"/>
        </w:rPr>
        <w:t>（三）完善评估考核</w:t>
      </w:r>
      <w:bookmarkEnd w:id="114"/>
    </w:p>
    <w:p>
      <w:pPr>
        <w:pStyle w:val="29"/>
        <w:spacing w:line="560" w:lineRule="exact"/>
        <w:ind w:firstLine="640"/>
        <w:rPr>
          <w:rFonts w:ascii="仿宋" w:hAnsi="仿宋" w:eastAsia="仿宋"/>
        </w:rPr>
      </w:pPr>
      <w:r>
        <w:rPr>
          <w:rFonts w:hint="eastAsia" w:ascii="仿宋" w:hAnsi="仿宋" w:eastAsia="仿宋"/>
        </w:rPr>
        <w:t>依据国家和省级《数字经济及其核心产业统计分类目录》，动态调整我市的数字经济入库企业名单，依据省数字经济综合评价指标体系，建立我市数字经济统计指标和评估评价机制，完善目标考核体系，把数字经济发展纳入年度考核，明确指标责任单位和年度考核绩效目标，形成部门、乡镇（街）上下联动左右协同的工作推进机制。强化数字经济发展动态跟踪，加强对各细分产业发展的预警与引导。深化数字经济重点项目“全周期”服务机制，进一步巩固和完善项目推进例会制，采用不定期走访服务和定期研究解决问题的具体举措。依托市企业综合服务平台，深化“暖心扶企”等各类企业服务专项行动，深入掌握企业智能化新产品研发和数字化改造中的问题、困难及需求。</w:t>
      </w:r>
    </w:p>
    <w:p>
      <w:pPr>
        <w:pStyle w:val="4"/>
        <w:spacing w:before="156" w:beforeLines="50" w:after="156" w:afterLines="50" w:line="560" w:lineRule="exact"/>
        <w:rPr>
          <w:rFonts w:hint="eastAsia" w:ascii="楷体" w:hAnsi="楷体" w:eastAsia="楷体" w:cs="楷体"/>
        </w:rPr>
      </w:pPr>
      <w:bookmarkStart w:id="115" w:name="_Toc9050"/>
      <w:r>
        <w:rPr>
          <w:rFonts w:hint="eastAsia" w:ascii="楷体" w:hAnsi="楷体" w:eastAsia="楷体" w:cs="楷体"/>
        </w:rPr>
        <w:t>（</w:t>
      </w:r>
      <w:r>
        <w:rPr>
          <w:rFonts w:hint="eastAsia" w:ascii="楷体" w:hAnsi="楷体" w:eastAsia="楷体" w:cs="楷体"/>
          <w:lang w:val="en-US" w:eastAsia="zh-CN"/>
        </w:rPr>
        <w:t>四</w:t>
      </w:r>
      <w:r>
        <w:rPr>
          <w:rFonts w:hint="eastAsia" w:ascii="楷体" w:hAnsi="楷体" w:eastAsia="楷体" w:cs="楷体"/>
        </w:rPr>
        <w:t>）深化开放合作</w:t>
      </w:r>
      <w:bookmarkEnd w:id="115"/>
    </w:p>
    <w:p>
      <w:pPr>
        <w:pStyle w:val="29"/>
        <w:spacing w:line="560" w:lineRule="exact"/>
        <w:ind w:firstLine="640"/>
        <w:rPr>
          <w:rStyle w:val="31"/>
          <w:rFonts w:ascii="仿宋" w:hAnsi="仿宋" w:eastAsia="仿宋"/>
        </w:rPr>
      </w:pPr>
      <w:r>
        <w:rPr>
          <w:rStyle w:val="31"/>
          <w:rFonts w:hint="eastAsia" w:ascii="仿宋" w:hAnsi="仿宋" w:eastAsia="仿宋"/>
        </w:rPr>
        <w:t>充分发挥乐商遍天下的优势，加强长三角城市群区域合作与交流。深化长三角数字经济领域的交流与合作，以数字经济带动技术、资本、人才等生产资料的汇聚，推进区域数字一体化发展。深化与国际数字经济领域的合作与交流，积极推进国内外知名企业在乐清设立区域总部或创新中心。坚持“走出去”与“引进来”双轮驱动，加强与深圳、上海、北京、杭州等地，强化政策驱动，明确项目招商、产业基金、人才招引、要素保障、财政支持等方面的支持力度。</w:t>
      </w:r>
    </w:p>
    <w:p>
      <w:pPr>
        <w:pStyle w:val="4"/>
        <w:spacing w:before="156" w:beforeLines="50" w:after="156" w:afterLines="50" w:line="560" w:lineRule="exact"/>
        <w:rPr>
          <w:rFonts w:hint="eastAsia" w:ascii="楷体" w:hAnsi="楷体" w:eastAsia="楷体" w:cs="楷体"/>
        </w:rPr>
      </w:pPr>
      <w:bookmarkStart w:id="116" w:name="_Toc1422"/>
      <w:r>
        <w:rPr>
          <w:rFonts w:hint="eastAsia" w:ascii="楷体" w:hAnsi="楷体" w:eastAsia="楷体" w:cs="楷体"/>
        </w:rPr>
        <w:t>（</w:t>
      </w:r>
      <w:r>
        <w:rPr>
          <w:rFonts w:hint="eastAsia" w:ascii="楷体" w:hAnsi="楷体" w:eastAsia="楷体" w:cs="楷体"/>
          <w:lang w:val="en-US" w:eastAsia="zh-CN"/>
        </w:rPr>
        <w:t>五</w:t>
      </w:r>
      <w:r>
        <w:rPr>
          <w:rFonts w:hint="eastAsia" w:ascii="楷体" w:hAnsi="楷体" w:eastAsia="楷体" w:cs="楷体"/>
        </w:rPr>
        <w:t>）营造良好氛围</w:t>
      </w:r>
      <w:bookmarkEnd w:id="116"/>
    </w:p>
    <w:p>
      <w:pPr>
        <w:pStyle w:val="29"/>
        <w:spacing w:line="560" w:lineRule="exact"/>
        <w:ind w:firstLine="640"/>
        <w:rPr>
          <w:rFonts w:ascii="仿宋" w:hAnsi="仿宋" w:eastAsia="仿宋"/>
        </w:rPr>
      </w:pPr>
      <w:r>
        <w:rPr>
          <w:rFonts w:hint="eastAsia" w:ascii="仿宋" w:hAnsi="仿宋" w:eastAsia="仿宋"/>
        </w:rPr>
        <w:t>组织举办机关干部数字经济培训班，提高领导干部在数字经济领域的辅助决策能力；实施企业家和高技能人才数字经济融合应用培训，不断提高企业数字发展和工作业务能力；实施全民数字教育计划，全面提升全民数字素养。综合利用报纸、广播、电视、网站、移动终端等各类传统媒体及“新媒介+新媒体”，不定期举办全市数字经济发展大会，分享成功案例、树立典型人物，加强政策解读，营造全社会推动数字经济高质量发展的良好氛围。每年举办数字经济领域具有特色的品牌活动，进一步扩大国际工业与能源互联网创新发展大会的影响力，吸引国内外知名相关数字经济企业发布新产品、新技术和新服务等，促进更广泛、更宽领域的合作与交流。依托乐清市数字经济产业发展联合会，开展数字经济政产学研用合作对接、技术交流培训、举办数字经济论坛等活动，加快推动数字经济技术应用和推广。</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A8AD11-5481-487A-BCF7-6C54F52CEB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2" w:fontKey="{FD4D36F9-63A7-4122-BFBB-11827CFE59A0}"/>
  </w:font>
  <w:font w:name="仿宋_GB2312">
    <w:panose1 w:val="02010609030101010101"/>
    <w:charset w:val="86"/>
    <w:family w:val="modern"/>
    <w:pitch w:val="default"/>
    <w:sig w:usb0="00000001" w:usb1="080E0000" w:usb2="00000000" w:usb3="00000000" w:csb0="00040000" w:csb1="00000000"/>
    <w:embedRegular r:id="rId3" w:fontKey="{05756D62-37F3-485D-AD70-70137AB0497E}"/>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1AC79486-1F08-43A6-AE92-BAA17A8A27DB}"/>
  </w:font>
  <w:font w:name="方正小标宋_GBK">
    <w:panose1 w:val="02000000000000000000"/>
    <w:charset w:val="86"/>
    <w:family w:val="auto"/>
    <w:pitch w:val="default"/>
    <w:sig w:usb0="A00002BF" w:usb1="38CF7CFA" w:usb2="00082016" w:usb3="00000000" w:csb0="00040001" w:csb1="00000000"/>
    <w:embedRegular r:id="rId5" w:fontKey="{98ECED75-71F1-4CBF-BA23-F189D7CF5B95}"/>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820418"/>
    </w:sdtPr>
    <w:sdtEndPr>
      <w:rPr>
        <w:rFonts w:ascii="Times New Roman" w:hAnsi="Times New Roman"/>
        <w:sz w:val="21"/>
        <w:szCs w:val="21"/>
      </w:rPr>
    </w:sdtEndPr>
    <w:sdtContent>
      <w:p>
        <w:pPr>
          <w:pStyle w:val="1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III</w:t>
        </w:r>
        <w:r>
          <w:rPr>
            <w:rFonts w:ascii="Times New Roman" w:hAnsi="Times New Roman"/>
            <w:sz w:val="21"/>
            <w:szCs w:val="21"/>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00120210"/>
    <w:rsid w:val="0000057D"/>
    <w:rsid w:val="000005C8"/>
    <w:rsid w:val="00000B5E"/>
    <w:rsid w:val="00001D3E"/>
    <w:rsid w:val="0000212A"/>
    <w:rsid w:val="000035EA"/>
    <w:rsid w:val="00003A78"/>
    <w:rsid w:val="00004235"/>
    <w:rsid w:val="0000554F"/>
    <w:rsid w:val="0000647D"/>
    <w:rsid w:val="00007167"/>
    <w:rsid w:val="00007715"/>
    <w:rsid w:val="00011106"/>
    <w:rsid w:val="00012A77"/>
    <w:rsid w:val="00013D50"/>
    <w:rsid w:val="0001453D"/>
    <w:rsid w:val="00014FB8"/>
    <w:rsid w:val="00015386"/>
    <w:rsid w:val="00015EF5"/>
    <w:rsid w:val="000173C4"/>
    <w:rsid w:val="00021098"/>
    <w:rsid w:val="00021B12"/>
    <w:rsid w:val="00022923"/>
    <w:rsid w:val="000229CA"/>
    <w:rsid w:val="0002357D"/>
    <w:rsid w:val="00024A84"/>
    <w:rsid w:val="00024FCF"/>
    <w:rsid w:val="00025592"/>
    <w:rsid w:val="000263C0"/>
    <w:rsid w:val="000267E5"/>
    <w:rsid w:val="00026BD2"/>
    <w:rsid w:val="00027B6A"/>
    <w:rsid w:val="00027C44"/>
    <w:rsid w:val="00030BCC"/>
    <w:rsid w:val="000315CC"/>
    <w:rsid w:val="0003186B"/>
    <w:rsid w:val="000322F9"/>
    <w:rsid w:val="00032CF2"/>
    <w:rsid w:val="000335D4"/>
    <w:rsid w:val="0003410D"/>
    <w:rsid w:val="0003483B"/>
    <w:rsid w:val="0003513C"/>
    <w:rsid w:val="000353B6"/>
    <w:rsid w:val="000355DE"/>
    <w:rsid w:val="000359F3"/>
    <w:rsid w:val="00037A60"/>
    <w:rsid w:val="000425BB"/>
    <w:rsid w:val="0004399B"/>
    <w:rsid w:val="00043CFD"/>
    <w:rsid w:val="00043FB2"/>
    <w:rsid w:val="00044F44"/>
    <w:rsid w:val="00045518"/>
    <w:rsid w:val="000464A4"/>
    <w:rsid w:val="00047514"/>
    <w:rsid w:val="0005168F"/>
    <w:rsid w:val="00051716"/>
    <w:rsid w:val="00052717"/>
    <w:rsid w:val="000540DA"/>
    <w:rsid w:val="000573AF"/>
    <w:rsid w:val="00057620"/>
    <w:rsid w:val="000579D7"/>
    <w:rsid w:val="00061F78"/>
    <w:rsid w:val="00061F85"/>
    <w:rsid w:val="0006249C"/>
    <w:rsid w:val="00062878"/>
    <w:rsid w:val="00063B8F"/>
    <w:rsid w:val="00064BFA"/>
    <w:rsid w:val="00070E9F"/>
    <w:rsid w:val="00071CAB"/>
    <w:rsid w:val="00072CA4"/>
    <w:rsid w:val="0007323B"/>
    <w:rsid w:val="00073673"/>
    <w:rsid w:val="0007519D"/>
    <w:rsid w:val="000764D9"/>
    <w:rsid w:val="000770EA"/>
    <w:rsid w:val="0007776C"/>
    <w:rsid w:val="0007786D"/>
    <w:rsid w:val="0008222A"/>
    <w:rsid w:val="00082789"/>
    <w:rsid w:val="00084FE4"/>
    <w:rsid w:val="0008562F"/>
    <w:rsid w:val="0008574B"/>
    <w:rsid w:val="00085ACC"/>
    <w:rsid w:val="00086D44"/>
    <w:rsid w:val="00086F66"/>
    <w:rsid w:val="00087AF1"/>
    <w:rsid w:val="00090425"/>
    <w:rsid w:val="00090910"/>
    <w:rsid w:val="000914F5"/>
    <w:rsid w:val="00092E5A"/>
    <w:rsid w:val="00092EF3"/>
    <w:rsid w:val="00093F87"/>
    <w:rsid w:val="000948A6"/>
    <w:rsid w:val="00094A19"/>
    <w:rsid w:val="00095448"/>
    <w:rsid w:val="000958EC"/>
    <w:rsid w:val="0009733F"/>
    <w:rsid w:val="000A07CC"/>
    <w:rsid w:val="000A09D0"/>
    <w:rsid w:val="000A0C49"/>
    <w:rsid w:val="000A22A1"/>
    <w:rsid w:val="000A598E"/>
    <w:rsid w:val="000A6755"/>
    <w:rsid w:val="000A6B0A"/>
    <w:rsid w:val="000A7A4C"/>
    <w:rsid w:val="000B0AC2"/>
    <w:rsid w:val="000B3835"/>
    <w:rsid w:val="000B3AAF"/>
    <w:rsid w:val="000B3E26"/>
    <w:rsid w:val="000B4333"/>
    <w:rsid w:val="000B52C7"/>
    <w:rsid w:val="000B5BAF"/>
    <w:rsid w:val="000B5E9C"/>
    <w:rsid w:val="000B7012"/>
    <w:rsid w:val="000B72BB"/>
    <w:rsid w:val="000B7806"/>
    <w:rsid w:val="000C0B29"/>
    <w:rsid w:val="000C165B"/>
    <w:rsid w:val="000C2F7D"/>
    <w:rsid w:val="000C46FE"/>
    <w:rsid w:val="000C519D"/>
    <w:rsid w:val="000D1F71"/>
    <w:rsid w:val="000D2E41"/>
    <w:rsid w:val="000D401A"/>
    <w:rsid w:val="000D453A"/>
    <w:rsid w:val="000D4808"/>
    <w:rsid w:val="000D4978"/>
    <w:rsid w:val="000D50CD"/>
    <w:rsid w:val="000E008D"/>
    <w:rsid w:val="000E1CC0"/>
    <w:rsid w:val="000E249E"/>
    <w:rsid w:val="000E250B"/>
    <w:rsid w:val="000E2AFF"/>
    <w:rsid w:val="000E3AF1"/>
    <w:rsid w:val="000E4AA7"/>
    <w:rsid w:val="000E52FA"/>
    <w:rsid w:val="000E5BA0"/>
    <w:rsid w:val="000E5C72"/>
    <w:rsid w:val="000E6DD4"/>
    <w:rsid w:val="000E6FE9"/>
    <w:rsid w:val="000E7E46"/>
    <w:rsid w:val="000F1560"/>
    <w:rsid w:val="000F21E5"/>
    <w:rsid w:val="000F259D"/>
    <w:rsid w:val="000F4E0C"/>
    <w:rsid w:val="00100755"/>
    <w:rsid w:val="00100FDD"/>
    <w:rsid w:val="00101C73"/>
    <w:rsid w:val="0010239A"/>
    <w:rsid w:val="001033A7"/>
    <w:rsid w:val="00103EBF"/>
    <w:rsid w:val="0010417A"/>
    <w:rsid w:val="001049E3"/>
    <w:rsid w:val="00105B2A"/>
    <w:rsid w:val="0010741F"/>
    <w:rsid w:val="001076D5"/>
    <w:rsid w:val="00111D5F"/>
    <w:rsid w:val="001124FD"/>
    <w:rsid w:val="001139F6"/>
    <w:rsid w:val="00113DEE"/>
    <w:rsid w:val="00114365"/>
    <w:rsid w:val="001146C5"/>
    <w:rsid w:val="00114B8B"/>
    <w:rsid w:val="0011541B"/>
    <w:rsid w:val="00115503"/>
    <w:rsid w:val="00115588"/>
    <w:rsid w:val="001177D1"/>
    <w:rsid w:val="00120210"/>
    <w:rsid w:val="001218EA"/>
    <w:rsid w:val="001220EC"/>
    <w:rsid w:val="00122B66"/>
    <w:rsid w:val="0012325B"/>
    <w:rsid w:val="00123FD6"/>
    <w:rsid w:val="0012513B"/>
    <w:rsid w:val="00125A29"/>
    <w:rsid w:val="00125B04"/>
    <w:rsid w:val="00125C93"/>
    <w:rsid w:val="00125F9D"/>
    <w:rsid w:val="00126635"/>
    <w:rsid w:val="00126BA4"/>
    <w:rsid w:val="00130070"/>
    <w:rsid w:val="0013017D"/>
    <w:rsid w:val="00130C40"/>
    <w:rsid w:val="0013116C"/>
    <w:rsid w:val="00131AA9"/>
    <w:rsid w:val="00131D5C"/>
    <w:rsid w:val="00132472"/>
    <w:rsid w:val="001331B8"/>
    <w:rsid w:val="001344D3"/>
    <w:rsid w:val="001348B7"/>
    <w:rsid w:val="001360A5"/>
    <w:rsid w:val="001402BF"/>
    <w:rsid w:val="00140606"/>
    <w:rsid w:val="001415F8"/>
    <w:rsid w:val="001423A2"/>
    <w:rsid w:val="00142ACF"/>
    <w:rsid w:val="00142ADB"/>
    <w:rsid w:val="0014323C"/>
    <w:rsid w:val="0014505F"/>
    <w:rsid w:val="001453B8"/>
    <w:rsid w:val="001456D7"/>
    <w:rsid w:val="0014717A"/>
    <w:rsid w:val="00150DAB"/>
    <w:rsid w:val="00152807"/>
    <w:rsid w:val="00152A38"/>
    <w:rsid w:val="00153719"/>
    <w:rsid w:val="00153EED"/>
    <w:rsid w:val="001547BE"/>
    <w:rsid w:val="00154F29"/>
    <w:rsid w:val="001551FF"/>
    <w:rsid w:val="00155319"/>
    <w:rsid w:val="001559F0"/>
    <w:rsid w:val="00156413"/>
    <w:rsid w:val="00156B74"/>
    <w:rsid w:val="00156BF4"/>
    <w:rsid w:val="0015731F"/>
    <w:rsid w:val="00160B2C"/>
    <w:rsid w:val="00161194"/>
    <w:rsid w:val="00161261"/>
    <w:rsid w:val="001639DF"/>
    <w:rsid w:val="0016440E"/>
    <w:rsid w:val="00164596"/>
    <w:rsid w:val="00166140"/>
    <w:rsid w:val="00166492"/>
    <w:rsid w:val="0016649D"/>
    <w:rsid w:val="00171B7E"/>
    <w:rsid w:val="00171DD1"/>
    <w:rsid w:val="00171E8A"/>
    <w:rsid w:val="001721DD"/>
    <w:rsid w:val="00173A87"/>
    <w:rsid w:val="001747FD"/>
    <w:rsid w:val="00174CAA"/>
    <w:rsid w:val="00175156"/>
    <w:rsid w:val="00175676"/>
    <w:rsid w:val="0017642F"/>
    <w:rsid w:val="0017740A"/>
    <w:rsid w:val="001777C3"/>
    <w:rsid w:val="00180079"/>
    <w:rsid w:val="001808CC"/>
    <w:rsid w:val="001811FC"/>
    <w:rsid w:val="00183335"/>
    <w:rsid w:val="00185218"/>
    <w:rsid w:val="00185F2D"/>
    <w:rsid w:val="001866F7"/>
    <w:rsid w:val="00187018"/>
    <w:rsid w:val="0019017F"/>
    <w:rsid w:val="00190C77"/>
    <w:rsid w:val="001913FE"/>
    <w:rsid w:val="00192133"/>
    <w:rsid w:val="00192817"/>
    <w:rsid w:val="00193692"/>
    <w:rsid w:val="00194393"/>
    <w:rsid w:val="00194542"/>
    <w:rsid w:val="00194A62"/>
    <w:rsid w:val="00194F34"/>
    <w:rsid w:val="0019571B"/>
    <w:rsid w:val="00195B5A"/>
    <w:rsid w:val="00195EB7"/>
    <w:rsid w:val="0019605D"/>
    <w:rsid w:val="00196382"/>
    <w:rsid w:val="00196391"/>
    <w:rsid w:val="00197E6F"/>
    <w:rsid w:val="001A05A5"/>
    <w:rsid w:val="001A0A01"/>
    <w:rsid w:val="001A109E"/>
    <w:rsid w:val="001A1D40"/>
    <w:rsid w:val="001A1F4E"/>
    <w:rsid w:val="001A2762"/>
    <w:rsid w:val="001A44F9"/>
    <w:rsid w:val="001A4670"/>
    <w:rsid w:val="001A5884"/>
    <w:rsid w:val="001A5954"/>
    <w:rsid w:val="001A6017"/>
    <w:rsid w:val="001A6151"/>
    <w:rsid w:val="001A63E7"/>
    <w:rsid w:val="001A76F4"/>
    <w:rsid w:val="001A7D8F"/>
    <w:rsid w:val="001B2672"/>
    <w:rsid w:val="001B3104"/>
    <w:rsid w:val="001B48F1"/>
    <w:rsid w:val="001B589F"/>
    <w:rsid w:val="001B6584"/>
    <w:rsid w:val="001B73FF"/>
    <w:rsid w:val="001C0379"/>
    <w:rsid w:val="001C0BC5"/>
    <w:rsid w:val="001C0E23"/>
    <w:rsid w:val="001C116E"/>
    <w:rsid w:val="001C20F6"/>
    <w:rsid w:val="001C2665"/>
    <w:rsid w:val="001C289A"/>
    <w:rsid w:val="001C3B64"/>
    <w:rsid w:val="001C3BE5"/>
    <w:rsid w:val="001C4239"/>
    <w:rsid w:val="001C611B"/>
    <w:rsid w:val="001D004C"/>
    <w:rsid w:val="001D0881"/>
    <w:rsid w:val="001D1667"/>
    <w:rsid w:val="001D286F"/>
    <w:rsid w:val="001D2DD4"/>
    <w:rsid w:val="001D310D"/>
    <w:rsid w:val="001D33A0"/>
    <w:rsid w:val="001D35B7"/>
    <w:rsid w:val="001D49B5"/>
    <w:rsid w:val="001D4C1B"/>
    <w:rsid w:val="001D4DEF"/>
    <w:rsid w:val="001D539E"/>
    <w:rsid w:val="001D6A3E"/>
    <w:rsid w:val="001E0B67"/>
    <w:rsid w:val="001E141E"/>
    <w:rsid w:val="001E1456"/>
    <w:rsid w:val="001E2D33"/>
    <w:rsid w:val="001E32B6"/>
    <w:rsid w:val="001E3CA4"/>
    <w:rsid w:val="001E3DE8"/>
    <w:rsid w:val="001E441A"/>
    <w:rsid w:val="001E4C71"/>
    <w:rsid w:val="001E521C"/>
    <w:rsid w:val="001E5DAD"/>
    <w:rsid w:val="001E7023"/>
    <w:rsid w:val="001E737F"/>
    <w:rsid w:val="001E7F76"/>
    <w:rsid w:val="001F1189"/>
    <w:rsid w:val="001F241A"/>
    <w:rsid w:val="001F38F3"/>
    <w:rsid w:val="001F3EF1"/>
    <w:rsid w:val="001F411B"/>
    <w:rsid w:val="001F4579"/>
    <w:rsid w:val="001F7486"/>
    <w:rsid w:val="0020020C"/>
    <w:rsid w:val="002002BB"/>
    <w:rsid w:val="00201086"/>
    <w:rsid w:val="0020321A"/>
    <w:rsid w:val="0020335B"/>
    <w:rsid w:val="0020371C"/>
    <w:rsid w:val="00203F96"/>
    <w:rsid w:val="00204702"/>
    <w:rsid w:val="00205796"/>
    <w:rsid w:val="00205C67"/>
    <w:rsid w:val="00205DF3"/>
    <w:rsid w:val="002068FB"/>
    <w:rsid w:val="002079CD"/>
    <w:rsid w:val="00207D88"/>
    <w:rsid w:val="002108E6"/>
    <w:rsid w:val="00210E4C"/>
    <w:rsid w:val="00212A9F"/>
    <w:rsid w:val="00213E70"/>
    <w:rsid w:val="002145D3"/>
    <w:rsid w:val="0021505E"/>
    <w:rsid w:val="00215657"/>
    <w:rsid w:val="00216117"/>
    <w:rsid w:val="00216250"/>
    <w:rsid w:val="00217145"/>
    <w:rsid w:val="00217E44"/>
    <w:rsid w:val="0022121B"/>
    <w:rsid w:val="002221FE"/>
    <w:rsid w:val="0022222B"/>
    <w:rsid w:val="00224366"/>
    <w:rsid w:val="0022459A"/>
    <w:rsid w:val="0022728A"/>
    <w:rsid w:val="00230D35"/>
    <w:rsid w:val="00230EC4"/>
    <w:rsid w:val="00230F1D"/>
    <w:rsid w:val="002317D5"/>
    <w:rsid w:val="002331E2"/>
    <w:rsid w:val="00235231"/>
    <w:rsid w:val="00237EDA"/>
    <w:rsid w:val="00240736"/>
    <w:rsid w:val="002409F8"/>
    <w:rsid w:val="00241D58"/>
    <w:rsid w:val="002423D6"/>
    <w:rsid w:val="002433B7"/>
    <w:rsid w:val="00243E34"/>
    <w:rsid w:val="00244412"/>
    <w:rsid w:val="002445A3"/>
    <w:rsid w:val="00245C19"/>
    <w:rsid w:val="002463A9"/>
    <w:rsid w:val="002464F1"/>
    <w:rsid w:val="002470C6"/>
    <w:rsid w:val="002515C0"/>
    <w:rsid w:val="00251768"/>
    <w:rsid w:val="00251A51"/>
    <w:rsid w:val="00252494"/>
    <w:rsid w:val="00252858"/>
    <w:rsid w:val="00253E25"/>
    <w:rsid w:val="00253E91"/>
    <w:rsid w:val="00254467"/>
    <w:rsid w:val="00254839"/>
    <w:rsid w:val="002549C8"/>
    <w:rsid w:val="00256099"/>
    <w:rsid w:val="0025639A"/>
    <w:rsid w:val="00256454"/>
    <w:rsid w:val="00256576"/>
    <w:rsid w:val="00256A70"/>
    <w:rsid w:val="00256D7C"/>
    <w:rsid w:val="002570D3"/>
    <w:rsid w:val="0025744B"/>
    <w:rsid w:val="00257F63"/>
    <w:rsid w:val="00260348"/>
    <w:rsid w:val="00260A06"/>
    <w:rsid w:val="00260ED4"/>
    <w:rsid w:val="0026119C"/>
    <w:rsid w:val="002620C5"/>
    <w:rsid w:val="00262222"/>
    <w:rsid w:val="00262E80"/>
    <w:rsid w:val="00263A8B"/>
    <w:rsid w:val="00263F12"/>
    <w:rsid w:val="0026618A"/>
    <w:rsid w:val="002662B2"/>
    <w:rsid w:val="00270AD7"/>
    <w:rsid w:val="0027145C"/>
    <w:rsid w:val="00271580"/>
    <w:rsid w:val="0027187D"/>
    <w:rsid w:val="00272913"/>
    <w:rsid w:val="002735CF"/>
    <w:rsid w:val="00273C6D"/>
    <w:rsid w:val="002750D0"/>
    <w:rsid w:val="00275105"/>
    <w:rsid w:val="00275240"/>
    <w:rsid w:val="00275786"/>
    <w:rsid w:val="0027579A"/>
    <w:rsid w:val="00276412"/>
    <w:rsid w:val="002766D2"/>
    <w:rsid w:val="00280892"/>
    <w:rsid w:val="00280ED2"/>
    <w:rsid w:val="002816BA"/>
    <w:rsid w:val="0028198C"/>
    <w:rsid w:val="00281F98"/>
    <w:rsid w:val="00282AE8"/>
    <w:rsid w:val="002831C2"/>
    <w:rsid w:val="00285CE4"/>
    <w:rsid w:val="00286573"/>
    <w:rsid w:val="00286E23"/>
    <w:rsid w:val="00286FEA"/>
    <w:rsid w:val="0028723F"/>
    <w:rsid w:val="00287804"/>
    <w:rsid w:val="0028789E"/>
    <w:rsid w:val="00287C4F"/>
    <w:rsid w:val="002911CD"/>
    <w:rsid w:val="002917DE"/>
    <w:rsid w:val="0029191D"/>
    <w:rsid w:val="002923DB"/>
    <w:rsid w:val="00292789"/>
    <w:rsid w:val="00292E88"/>
    <w:rsid w:val="00294C04"/>
    <w:rsid w:val="00296B83"/>
    <w:rsid w:val="00297AB3"/>
    <w:rsid w:val="002A3C99"/>
    <w:rsid w:val="002A437E"/>
    <w:rsid w:val="002A669B"/>
    <w:rsid w:val="002A6733"/>
    <w:rsid w:val="002A6795"/>
    <w:rsid w:val="002A6B56"/>
    <w:rsid w:val="002A73F3"/>
    <w:rsid w:val="002A7CA6"/>
    <w:rsid w:val="002B02E1"/>
    <w:rsid w:val="002B048D"/>
    <w:rsid w:val="002B1455"/>
    <w:rsid w:val="002B15EC"/>
    <w:rsid w:val="002B2663"/>
    <w:rsid w:val="002B2AF0"/>
    <w:rsid w:val="002B2FF8"/>
    <w:rsid w:val="002B4255"/>
    <w:rsid w:val="002B44C4"/>
    <w:rsid w:val="002B5117"/>
    <w:rsid w:val="002B563F"/>
    <w:rsid w:val="002B74CD"/>
    <w:rsid w:val="002C04DF"/>
    <w:rsid w:val="002C08DC"/>
    <w:rsid w:val="002C0C69"/>
    <w:rsid w:val="002C186F"/>
    <w:rsid w:val="002C4545"/>
    <w:rsid w:val="002C4846"/>
    <w:rsid w:val="002C696C"/>
    <w:rsid w:val="002D0024"/>
    <w:rsid w:val="002D00A8"/>
    <w:rsid w:val="002D0828"/>
    <w:rsid w:val="002D0BD7"/>
    <w:rsid w:val="002D0BDF"/>
    <w:rsid w:val="002D1070"/>
    <w:rsid w:val="002D121C"/>
    <w:rsid w:val="002D1ECE"/>
    <w:rsid w:val="002D3154"/>
    <w:rsid w:val="002D35A7"/>
    <w:rsid w:val="002D35C9"/>
    <w:rsid w:val="002D3DAE"/>
    <w:rsid w:val="002D48E3"/>
    <w:rsid w:val="002D62E3"/>
    <w:rsid w:val="002D73EC"/>
    <w:rsid w:val="002D7DD1"/>
    <w:rsid w:val="002E0C5D"/>
    <w:rsid w:val="002E10FA"/>
    <w:rsid w:val="002E1DF6"/>
    <w:rsid w:val="002E2A1D"/>
    <w:rsid w:val="002E3905"/>
    <w:rsid w:val="002E4D32"/>
    <w:rsid w:val="002E4EB2"/>
    <w:rsid w:val="002E6313"/>
    <w:rsid w:val="002E6F75"/>
    <w:rsid w:val="002E71D5"/>
    <w:rsid w:val="002E74B5"/>
    <w:rsid w:val="002E7E6A"/>
    <w:rsid w:val="002F0AD4"/>
    <w:rsid w:val="002F13BE"/>
    <w:rsid w:val="002F1CA1"/>
    <w:rsid w:val="002F31E3"/>
    <w:rsid w:val="002F32C3"/>
    <w:rsid w:val="002F3E9C"/>
    <w:rsid w:val="002F486A"/>
    <w:rsid w:val="002F5C44"/>
    <w:rsid w:val="002F5DB5"/>
    <w:rsid w:val="002F60DD"/>
    <w:rsid w:val="002F78AC"/>
    <w:rsid w:val="00301849"/>
    <w:rsid w:val="00304731"/>
    <w:rsid w:val="003047A9"/>
    <w:rsid w:val="00305D42"/>
    <w:rsid w:val="00306040"/>
    <w:rsid w:val="003079B3"/>
    <w:rsid w:val="00307D51"/>
    <w:rsid w:val="00311295"/>
    <w:rsid w:val="00311E94"/>
    <w:rsid w:val="00313086"/>
    <w:rsid w:val="003144D5"/>
    <w:rsid w:val="003147A6"/>
    <w:rsid w:val="0031490F"/>
    <w:rsid w:val="003157D2"/>
    <w:rsid w:val="00315E32"/>
    <w:rsid w:val="00316DD7"/>
    <w:rsid w:val="00316E14"/>
    <w:rsid w:val="00316E23"/>
    <w:rsid w:val="003176ED"/>
    <w:rsid w:val="0032214F"/>
    <w:rsid w:val="00323000"/>
    <w:rsid w:val="00323E1E"/>
    <w:rsid w:val="00324C63"/>
    <w:rsid w:val="00325359"/>
    <w:rsid w:val="00325E17"/>
    <w:rsid w:val="00325F89"/>
    <w:rsid w:val="0032623E"/>
    <w:rsid w:val="00326866"/>
    <w:rsid w:val="0032705A"/>
    <w:rsid w:val="00330061"/>
    <w:rsid w:val="003304F1"/>
    <w:rsid w:val="0033175F"/>
    <w:rsid w:val="00332988"/>
    <w:rsid w:val="003336EE"/>
    <w:rsid w:val="00333E82"/>
    <w:rsid w:val="00334186"/>
    <w:rsid w:val="0033471C"/>
    <w:rsid w:val="00334750"/>
    <w:rsid w:val="00334D8F"/>
    <w:rsid w:val="00335225"/>
    <w:rsid w:val="00335572"/>
    <w:rsid w:val="003362B0"/>
    <w:rsid w:val="00337CFB"/>
    <w:rsid w:val="00337D95"/>
    <w:rsid w:val="00340CCF"/>
    <w:rsid w:val="003412AF"/>
    <w:rsid w:val="003441D8"/>
    <w:rsid w:val="00344B20"/>
    <w:rsid w:val="00344F81"/>
    <w:rsid w:val="0034511F"/>
    <w:rsid w:val="00346EAB"/>
    <w:rsid w:val="0034756C"/>
    <w:rsid w:val="00350711"/>
    <w:rsid w:val="00350754"/>
    <w:rsid w:val="00351CF7"/>
    <w:rsid w:val="003520E3"/>
    <w:rsid w:val="003528DE"/>
    <w:rsid w:val="003533D2"/>
    <w:rsid w:val="00353A46"/>
    <w:rsid w:val="003544C1"/>
    <w:rsid w:val="003557A8"/>
    <w:rsid w:val="00356A5A"/>
    <w:rsid w:val="003572A3"/>
    <w:rsid w:val="00357871"/>
    <w:rsid w:val="0036104A"/>
    <w:rsid w:val="00361DBB"/>
    <w:rsid w:val="003620F4"/>
    <w:rsid w:val="00362BAA"/>
    <w:rsid w:val="00362CD2"/>
    <w:rsid w:val="00362D3B"/>
    <w:rsid w:val="0036321D"/>
    <w:rsid w:val="00363385"/>
    <w:rsid w:val="003633C3"/>
    <w:rsid w:val="003643FF"/>
    <w:rsid w:val="0036481F"/>
    <w:rsid w:val="003648AE"/>
    <w:rsid w:val="00364B61"/>
    <w:rsid w:val="00364F90"/>
    <w:rsid w:val="00365CD5"/>
    <w:rsid w:val="00365E79"/>
    <w:rsid w:val="003700A7"/>
    <w:rsid w:val="003707A3"/>
    <w:rsid w:val="00371450"/>
    <w:rsid w:val="00371A68"/>
    <w:rsid w:val="00371ACA"/>
    <w:rsid w:val="00371AEE"/>
    <w:rsid w:val="00371EDA"/>
    <w:rsid w:val="00372F04"/>
    <w:rsid w:val="003735EF"/>
    <w:rsid w:val="00373869"/>
    <w:rsid w:val="00373AB3"/>
    <w:rsid w:val="00374CE0"/>
    <w:rsid w:val="00375301"/>
    <w:rsid w:val="003777E0"/>
    <w:rsid w:val="00377DA3"/>
    <w:rsid w:val="00382121"/>
    <w:rsid w:val="00383E1F"/>
    <w:rsid w:val="0038442C"/>
    <w:rsid w:val="00384AE5"/>
    <w:rsid w:val="0038508B"/>
    <w:rsid w:val="00386909"/>
    <w:rsid w:val="00386CC6"/>
    <w:rsid w:val="00386E94"/>
    <w:rsid w:val="00386FCE"/>
    <w:rsid w:val="0038784B"/>
    <w:rsid w:val="003878CA"/>
    <w:rsid w:val="00387E87"/>
    <w:rsid w:val="003903DC"/>
    <w:rsid w:val="00390BD1"/>
    <w:rsid w:val="003955CF"/>
    <w:rsid w:val="00395C18"/>
    <w:rsid w:val="0039647E"/>
    <w:rsid w:val="003A1027"/>
    <w:rsid w:val="003A1676"/>
    <w:rsid w:val="003A2C10"/>
    <w:rsid w:val="003A4B6D"/>
    <w:rsid w:val="003A4DF6"/>
    <w:rsid w:val="003A5920"/>
    <w:rsid w:val="003A5F80"/>
    <w:rsid w:val="003A7902"/>
    <w:rsid w:val="003B02FD"/>
    <w:rsid w:val="003B06A4"/>
    <w:rsid w:val="003B1130"/>
    <w:rsid w:val="003B1CDF"/>
    <w:rsid w:val="003B38A4"/>
    <w:rsid w:val="003B52A4"/>
    <w:rsid w:val="003B5BC5"/>
    <w:rsid w:val="003B6268"/>
    <w:rsid w:val="003B63A3"/>
    <w:rsid w:val="003B6851"/>
    <w:rsid w:val="003B71A8"/>
    <w:rsid w:val="003B7245"/>
    <w:rsid w:val="003B7923"/>
    <w:rsid w:val="003C05D0"/>
    <w:rsid w:val="003C18DD"/>
    <w:rsid w:val="003C197A"/>
    <w:rsid w:val="003C19D8"/>
    <w:rsid w:val="003C3B40"/>
    <w:rsid w:val="003C5BDD"/>
    <w:rsid w:val="003C5EA2"/>
    <w:rsid w:val="003C5F8E"/>
    <w:rsid w:val="003C6596"/>
    <w:rsid w:val="003C6758"/>
    <w:rsid w:val="003C7873"/>
    <w:rsid w:val="003D009C"/>
    <w:rsid w:val="003D0744"/>
    <w:rsid w:val="003D1B23"/>
    <w:rsid w:val="003D327F"/>
    <w:rsid w:val="003D36E1"/>
    <w:rsid w:val="003D516E"/>
    <w:rsid w:val="003D61AA"/>
    <w:rsid w:val="003D65DC"/>
    <w:rsid w:val="003D6BF5"/>
    <w:rsid w:val="003D7037"/>
    <w:rsid w:val="003D7047"/>
    <w:rsid w:val="003D7835"/>
    <w:rsid w:val="003E0824"/>
    <w:rsid w:val="003E0D6F"/>
    <w:rsid w:val="003E10F4"/>
    <w:rsid w:val="003E2676"/>
    <w:rsid w:val="003E2E99"/>
    <w:rsid w:val="003E368D"/>
    <w:rsid w:val="003E56AD"/>
    <w:rsid w:val="003E5EA4"/>
    <w:rsid w:val="003E6477"/>
    <w:rsid w:val="003E66FD"/>
    <w:rsid w:val="003E6D1A"/>
    <w:rsid w:val="003E769C"/>
    <w:rsid w:val="003F0EE0"/>
    <w:rsid w:val="003F3E05"/>
    <w:rsid w:val="003F42CE"/>
    <w:rsid w:val="003F4F68"/>
    <w:rsid w:val="003F4F9E"/>
    <w:rsid w:val="003F62F5"/>
    <w:rsid w:val="003F6321"/>
    <w:rsid w:val="003F6453"/>
    <w:rsid w:val="003F6E92"/>
    <w:rsid w:val="00401695"/>
    <w:rsid w:val="004016D8"/>
    <w:rsid w:val="00403C31"/>
    <w:rsid w:val="0040487B"/>
    <w:rsid w:val="004049BA"/>
    <w:rsid w:val="00404BB8"/>
    <w:rsid w:val="00404E83"/>
    <w:rsid w:val="0040506B"/>
    <w:rsid w:val="00405D13"/>
    <w:rsid w:val="00406143"/>
    <w:rsid w:val="00407C35"/>
    <w:rsid w:val="00410A60"/>
    <w:rsid w:val="00412781"/>
    <w:rsid w:val="00412A8F"/>
    <w:rsid w:val="00414653"/>
    <w:rsid w:val="00414CB1"/>
    <w:rsid w:val="00414F60"/>
    <w:rsid w:val="004150BC"/>
    <w:rsid w:val="0041576E"/>
    <w:rsid w:val="00415C8C"/>
    <w:rsid w:val="0041635C"/>
    <w:rsid w:val="00416F57"/>
    <w:rsid w:val="00417EE5"/>
    <w:rsid w:val="00420C6B"/>
    <w:rsid w:val="0042243A"/>
    <w:rsid w:val="00423651"/>
    <w:rsid w:val="00423E10"/>
    <w:rsid w:val="004240DF"/>
    <w:rsid w:val="00425B5B"/>
    <w:rsid w:val="004266FC"/>
    <w:rsid w:val="004267A7"/>
    <w:rsid w:val="00427D3D"/>
    <w:rsid w:val="0043019C"/>
    <w:rsid w:val="0043023C"/>
    <w:rsid w:val="00430964"/>
    <w:rsid w:val="004317DC"/>
    <w:rsid w:val="004318FF"/>
    <w:rsid w:val="00433BC0"/>
    <w:rsid w:val="00433EF5"/>
    <w:rsid w:val="00434203"/>
    <w:rsid w:val="00434B6D"/>
    <w:rsid w:val="004353BD"/>
    <w:rsid w:val="00435BE2"/>
    <w:rsid w:val="00436598"/>
    <w:rsid w:val="004366FA"/>
    <w:rsid w:val="00436E49"/>
    <w:rsid w:val="0044128F"/>
    <w:rsid w:val="00444483"/>
    <w:rsid w:val="00444B9B"/>
    <w:rsid w:val="004453D7"/>
    <w:rsid w:val="004473F1"/>
    <w:rsid w:val="00447618"/>
    <w:rsid w:val="00447726"/>
    <w:rsid w:val="00447AB4"/>
    <w:rsid w:val="00447FF1"/>
    <w:rsid w:val="00451991"/>
    <w:rsid w:val="004525D8"/>
    <w:rsid w:val="00452D95"/>
    <w:rsid w:val="00453019"/>
    <w:rsid w:val="0045352D"/>
    <w:rsid w:val="00453867"/>
    <w:rsid w:val="004540FE"/>
    <w:rsid w:val="00455555"/>
    <w:rsid w:val="00455B70"/>
    <w:rsid w:val="00455FD8"/>
    <w:rsid w:val="004560C7"/>
    <w:rsid w:val="00457EA5"/>
    <w:rsid w:val="0046058C"/>
    <w:rsid w:val="00460D1D"/>
    <w:rsid w:val="00461B64"/>
    <w:rsid w:val="00464224"/>
    <w:rsid w:val="00466282"/>
    <w:rsid w:val="004671AE"/>
    <w:rsid w:val="00470840"/>
    <w:rsid w:val="00471064"/>
    <w:rsid w:val="00471E25"/>
    <w:rsid w:val="00472581"/>
    <w:rsid w:val="00473D93"/>
    <w:rsid w:val="00473F45"/>
    <w:rsid w:val="00474291"/>
    <w:rsid w:val="004746CB"/>
    <w:rsid w:val="00475155"/>
    <w:rsid w:val="00476518"/>
    <w:rsid w:val="00477F5B"/>
    <w:rsid w:val="00480714"/>
    <w:rsid w:val="00480AB4"/>
    <w:rsid w:val="00480C11"/>
    <w:rsid w:val="0048162D"/>
    <w:rsid w:val="00482D0D"/>
    <w:rsid w:val="0048482B"/>
    <w:rsid w:val="00484E63"/>
    <w:rsid w:val="0048543A"/>
    <w:rsid w:val="00485618"/>
    <w:rsid w:val="00486A8D"/>
    <w:rsid w:val="00486D16"/>
    <w:rsid w:val="00486E72"/>
    <w:rsid w:val="004910BF"/>
    <w:rsid w:val="0049238D"/>
    <w:rsid w:val="004944E2"/>
    <w:rsid w:val="00496D29"/>
    <w:rsid w:val="004A11C3"/>
    <w:rsid w:val="004A1B71"/>
    <w:rsid w:val="004A3659"/>
    <w:rsid w:val="004A464B"/>
    <w:rsid w:val="004A51B6"/>
    <w:rsid w:val="004A5440"/>
    <w:rsid w:val="004A58CB"/>
    <w:rsid w:val="004A69B9"/>
    <w:rsid w:val="004A79A3"/>
    <w:rsid w:val="004A7A87"/>
    <w:rsid w:val="004A7C7D"/>
    <w:rsid w:val="004A7E8B"/>
    <w:rsid w:val="004B0528"/>
    <w:rsid w:val="004B095D"/>
    <w:rsid w:val="004B11AA"/>
    <w:rsid w:val="004B2523"/>
    <w:rsid w:val="004B295C"/>
    <w:rsid w:val="004B2B78"/>
    <w:rsid w:val="004B345F"/>
    <w:rsid w:val="004B4079"/>
    <w:rsid w:val="004B447A"/>
    <w:rsid w:val="004B4BE3"/>
    <w:rsid w:val="004B4E1F"/>
    <w:rsid w:val="004B7259"/>
    <w:rsid w:val="004B7960"/>
    <w:rsid w:val="004B7C88"/>
    <w:rsid w:val="004C017E"/>
    <w:rsid w:val="004C02E6"/>
    <w:rsid w:val="004C0601"/>
    <w:rsid w:val="004C0A76"/>
    <w:rsid w:val="004C1BC5"/>
    <w:rsid w:val="004C1DF9"/>
    <w:rsid w:val="004C2F84"/>
    <w:rsid w:val="004C33AD"/>
    <w:rsid w:val="004C41C0"/>
    <w:rsid w:val="004C4614"/>
    <w:rsid w:val="004C4817"/>
    <w:rsid w:val="004C54AC"/>
    <w:rsid w:val="004C5521"/>
    <w:rsid w:val="004C6695"/>
    <w:rsid w:val="004D142E"/>
    <w:rsid w:val="004D2814"/>
    <w:rsid w:val="004D281D"/>
    <w:rsid w:val="004D36B0"/>
    <w:rsid w:val="004D39CC"/>
    <w:rsid w:val="004D3E67"/>
    <w:rsid w:val="004D46A7"/>
    <w:rsid w:val="004D488A"/>
    <w:rsid w:val="004D4D12"/>
    <w:rsid w:val="004D5F9E"/>
    <w:rsid w:val="004D60E8"/>
    <w:rsid w:val="004D733C"/>
    <w:rsid w:val="004D75EB"/>
    <w:rsid w:val="004D777D"/>
    <w:rsid w:val="004E1861"/>
    <w:rsid w:val="004E216B"/>
    <w:rsid w:val="004E2A4A"/>
    <w:rsid w:val="004E36B3"/>
    <w:rsid w:val="004E3F05"/>
    <w:rsid w:val="004E40E5"/>
    <w:rsid w:val="004E54F1"/>
    <w:rsid w:val="004E5C8D"/>
    <w:rsid w:val="004E6DC0"/>
    <w:rsid w:val="004E74BB"/>
    <w:rsid w:val="004E7E69"/>
    <w:rsid w:val="004E7EA1"/>
    <w:rsid w:val="004F0452"/>
    <w:rsid w:val="004F0705"/>
    <w:rsid w:val="004F0972"/>
    <w:rsid w:val="004F0BD0"/>
    <w:rsid w:val="004F2531"/>
    <w:rsid w:val="004F29A5"/>
    <w:rsid w:val="004F3369"/>
    <w:rsid w:val="004F4F7A"/>
    <w:rsid w:val="004F6BEC"/>
    <w:rsid w:val="004F6DF0"/>
    <w:rsid w:val="005005CA"/>
    <w:rsid w:val="00501058"/>
    <w:rsid w:val="00502718"/>
    <w:rsid w:val="00502CC1"/>
    <w:rsid w:val="0050333F"/>
    <w:rsid w:val="0050379D"/>
    <w:rsid w:val="005055B2"/>
    <w:rsid w:val="0050658B"/>
    <w:rsid w:val="00506F1D"/>
    <w:rsid w:val="00507D3B"/>
    <w:rsid w:val="005101EA"/>
    <w:rsid w:val="00510254"/>
    <w:rsid w:val="00510DF8"/>
    <w:rsid w:val="00511485"/>
    <w:rsid w:val="00511A34"/>
    <w:rsid w:val="00512483"/>
    <w:rsid w:val="00512972"/>
    <w:rsid w:val="00512FBD"/>
    <w:rsid w:val="00512FE7"/>
    <w:rsid w:val="005134D7"/>
    <w:rsid w:val="0051363C"/>
    <w:rsid w:val="00513EA2"/>
    <w:rsid w:val="00514977"/>
    <w:rsid w:val="00517A4F"/>
    <w:rsid w:val="00520771"/>
    <w:rsid w:val="00520DA6"/>
    <w:rsid w:val="00521BA9"/>
    <w:rsid w:val="00521F8E"/>
    <w:rsid w:val="005221EA"/>
    <w:rsid w:val="005222D8"/>
    <w:rsid w:val="00522614"/>
    <w:rsid w:val="00522C42"/>
    <w:rsid w:val="00523D44"/>
    <w:rsid w:val="00525913"/>
    <w:rsid w:val="0052602C"/>
    <w:rsid w:val="00526BC2"/>
    <w:rsid w:val="00526EDB"/>
    <w:rsid w:val="005276A8"/>
    <w:rsid w:val="00527DB7"/>
    <w:rsid w:val="005300E9"/>
    <w:rsid w:val="00530213"/>
    <w:rsid w:val="00530F95"/>
    <w:rsid w:val="00531351"/>
    <w:rsid w:val="00531CF6"/>
    <w:rsid w:val="005321BD"/>
    <w:rsid w:val="00532A04"/>
    <w:rsid w:val="00532C33"/>
    <w:rsid w:val="005330AD"/>
    <w:rsid w:val="005331EB"/>
    <w:rsid w:val="00533B0A"/>
    <w:rsid w:val="0053490D"/>
    <w:rsid w:val="00534F6B"/>
    <w:rsid w:val="005369E3"/>
    <w:rsid w:val="0054204E"/>
    <w:rsid w:val="005429C8"/>
    <w:rsid w:val="00542DFB"/>
    <w:rsid w:val="00542F6B"/>
    <w:rsid w:val="00543405"/>
    <w:rsid w:val="005434FF"/>
    <w:rsid w:val="00543B95"/>
    <w:rsid w:val="00543B97"/>
    <w:rsid w:val="005450E8"/>
    <w:rsid w:val="0054610B"/>
    <w:rsid w:val="00546195"/>
    <w:rsid w:val="005477E6"/>
    <w:rsid w:val="00547EFB"/>
    <w:rsid w:val="005505A3"/>
    <w:rsid w:val="005520AC"/>
    <w:rsid w:val="005520C5"/>
    <w:rsid w:val="005528D8"/>
    <w:rsid w:val="00552B52"/>
    <w:rsid w:val="005533F5"/>
    <w:rsid w:val="0055424C"/>
    <w:rsid w:val="00554E1A"/>
    <w:rsid w:val="005559AF"/>
    <w:rsid w:val="00555C58"/>
    <w:rsid w:val="0056077B"/>
    <w:rsid w:val="0056288E"/>
    <w:rsid w:val="00562EAA"/>
    <w:rsid w:val="00564843"/>
    <w:rsid w:val="005661D3"/>
    <w:rsid w:val="00567090"/>
    <w:rsid w:val="00567711"/>
    <w:rsid w:val="005678BF"/>
    <w:rsid w:val="00567C9D"/>
    <w:rsid w:val="0057265D"/>
    <w:rsid w:val="00572B19"/>
    <w:rsid w:val="00572C97"/>
    <w:rsid w:val="00572EF2"/>
    <w:rsid w:val="00572F1B"/>
    <w:rsid w:val="0057395E"/>
    <w:rsid w:val="005748A0"/>
    <w:rsid w:val="00574D29"/>
    <w:rsid w:val="00575AB7"/>
    <w:rsid w:val="00575CB3"/>
    <w:rsid w:val="005774F4"/>
    <w:rsid w:val="00580752"/>
    <w:rsid w:val="00580B10"/>
    <w:rsid w:val="0058137C"/>
    <w:rsid w:val="00582BA1"/>
    <w:rsid w:val="005832B0"/>
    <w:rsid w:val="00583AE6"/>
    <w:rsid w:val="00583FE0"/>
    <w:rsid w:val="005841AA"/>
    <w:rsid w:val="00584733"/>
    <w:rsid w:val="00584A6C"/>
    <w:rsid w:val="00586DEF"/>
    <w:rsid w:val="005876D7"/>
    <w:rsid w:val="00591689"/>
    <w:rsid w:val="00592C0D"/>
    <w:rsid w:val="00592FAC"/>
    <w:rsid w:val="00593D8A"/>
    <w:rsid w:val="0059405D"/>
    <w:rsid w:val="00594511"/>
    <w:rsid w:val="00594698"/>
    <w:rsid w:val="00595AD1"/>
    <w:rsid w:val="00596763"/>
    <w:rsid w:val="00596D2E"/>
    <w:rsid w:val="005A0FB9"/>
    <w:rsid w:val="005A1729"/>
    <w:rsid w:val="005A19AC"/>
    <w:rsid w:val="005A2381"/>
    <w:rsid w:val="005A238C"/>
    <w:rsid w:val="005A2D23"/>
    <w:rsid w:val="005A32FD"/>
    <w:rsid w:val="005A44B1"/>
    <w:rsid w:val="005A4738"/>
    <w:rsid w:val="005A4EFB"/>
    <w:rsid w:val="005A4F68"/>
    <w:rsid w:val="005A4F7F"/>
    <w:rsid w:val="005A5513"/>
    <w:rsid w:val="005A7157"/>
    <w:rsid w:val="005A7D3E"/>
    <w:rsid w:val="005B06AB"/>
    <w:rsid w:val="005B0D3B"/>
    <w:rsid w:val="005B1403"/>
    <w:rsid w:val="005B197A"/>
    <w:rsid w:val="005B1D74"/>
    <w:rsid w:val="005B2342"/>
    <w:rsid w:val="005B26C5"/>
    <w:rsid w:val="005B2DF8"/>
    <w:rsid w:val="005B2F73"/>
    <w:rsid w:val="005B3D1B"/>
    <w:rsid w:val="005B4794"/>
    <w:rsid w:val="005B4D3E"/>
    <w:rsid w:val="005B557F"/>
    <w:rsid w:val="005B5AAC"/>
    <w:rsid w:val="005B5FA3"/>
    <w:rsid w:val="005B68A4"/>
    <w:rsid w:val="005B6C65"/>
    <w:rsid w:val="005B79B9"/>
    <w:rsid w:val="005C0A90"/>
    <w:rsid w:val="005C0C55"/>
    <w:rsid w:val="005C1660"/>
    <w:rsid w:val="005C1A9C"/>
    <w:rsid w:val="005C1ECA"/>
    <w:rsid w:val="005C2A5E"/>
    <w:rsid w:val="005C3097"/>
    <w:rsid w:val="005C3166"/>
    <w:rsid w:val="005C3785"/>
    <w:rsid w:val="005C511A"/>
    <w:rsid w:val="005C556F"/>
    <w:rsid w:val="005C69EF"/>
    <w:rsid w:val="005C71D1"/>
    <w:rsid w:val="005C7434"/>
    <w:rsid w:val="005D005A"/>
    <w:rsid w:val="005D022D"/>
    <w:rsid w:val="005D1885"/>
    <w:rsid w:val="005D19B0"/>
    <w:rsid w:val="005D21F8"/>
    <w:rsid w:val="005D2429"/>
    <w:rsid w:val="005D2AC9"/>
    <w:rsid w:val="005D4B4E"/>
    <w:rsid w:val="005D5D70"/>
    <w:rsid w:val="005D6F71"/>
    <w:rsid w:val="005D7A63"/>
    <w:rsid w:val="005E1E7C"/>
    <w:rsid w:val="005E2732"/>
    <w:rsid w:val="005E3843"/>
    <w:rsid w:val="005E3AFE"/>
    <w:rsid w:val="005E45EA"/>
    <w:rsid w:val="005E56DE"/>
    <w:rsid w:val="005E591E"/>
    <w:rsid w:val="005E5ECC"/>
    <w:rsid w:val="005E6839"/>
    <w:rsid w:val="005E7278"/>
    <w:rsid w:val="005F0562"/>
    <w:rsid w:val="005F15F9"/>
    <w:rsid w:val="005F1713"/>
    <w:rsid w:val="005F1C59"/>
    <w:rsid w:val="005F20A7"/>
    <w:rsid w:val="005F20F8"/>
    <w:rsid w:val="005F2C8B"/>
    <w:rsid w:val="005F604A"/>
    <w:rsid w:val="005F644F"/>
    <w:rsid w:val="005F7EAA"/>
    <w:rsid w:val="00600BB5"/>
    <w:rsid w:val="006018D9"/>
    <w:rsid w:val="00601A1A"/>
    <w:rsid w:val="00602AA5"/>
    <w:rsid w:val="00602B90"/>
    <w:rsid w:val="0060491F"/>
    <w:rsid w:val="00604A37"/>
    <w:rsid w:val="00604D3B"/>
    <w:rsid w:val="0060527D"/>
    <w:rsid w:val="00605437"/>
    <w:rsid w:val="006059FF"/>
    <w:rsid w:val="00606125"/>
    <w:rsid w:val="00606932"/>
    <w:rsid w:val="00607A82"/>
    <w:rsid w:val="00607AD0"/>
    <w:rsid w:val="006104A0"/>
    <w:rsid w:val="00610F10"/>
    <w:rsid w:val="006116B7"/>
    <w:rsid w:val="00612C85"/>
    <w:rsid w:val="00612F51"/>
    <w:rsid w:val="0061304E"/>
    <w:rsid w:val="006131A7"/>
    <w:rsid w:val="006133F9"/>
    <w:rsid w:val="00613A27"/>
    <w:rsid w:val="0061441B"/>
    <w:rsid w:val="00614664"/>
    <w:rsid w:val="00614879"/>
    <w:rsid w:val="00616350"/>
    <w:rsid w:val="00616A05"/>
    <w:rsid w:val="00616EB8"/>
    <w:rsid w:val="006170A1"/>
    <w:rsid w:val="0061744A"/>
    <w:rsid w:val="0062035C"/>
    <w:rsid w:val="006205A6"/>
    <w:rsid w:val="00620E3F"/>
    <w:rsid w:val="00622D8E"/>
    <w:rsid w:val="00622E3D"/>
    <w:rsid w:val="006232E4"/>
    <w:rsid w:val="0062431D"/>
    <w:rsid w:val="00624C2A"/>
    <w:rsid w:val="00626466"/>
    <w:rsid w:val="00626A55"/>
    <w:rsid w:val="00630623"/>
    <w:rsid w:val="0063079E"/>
    <w:rsid w:val="00630B13"/>
    <w:rsid w:val="0063132A"/>
    <w:rsid w:val="006336AD"/>
    <w:rsid w:val="006347FA"/>
    <w:rsid w:val="00634828"/>
    <w:rsid w:val="00634AD3"/>
    <w:rsid w:val="00634C38"/>
    <w:rsid w:val="0063577E"/>
    <w:rsid w:val="00635867"/>
    <w:rsid w:val="0064069E"/>
    <w:rsid w:val="00640F8A"/>
    <w:rsid w:val="00642046"/>
    <w:rsid w:val="00642393"/>
    <w:rsid w:val="00642FA4"/>
    <w:rsid w:val="00644525"/>
    <w:rsid w:val="00645DC4"/>
    <w:rsid w:val="006462BF"/>
    <w:rsid w:val="006465A0"/>
    <w:rsid w:val="0064680C"/>
    <w:rsid w:val="00646F77"/>
    <w:rsid w:val="0064778F"/>
    <w:rsid w:val="00650C43"/>
    <w:rsid w:val="00650DC7"/>
    <w:rsid w:val="00651228"/>
    <w:rsid w:val="00651537"/>
    <w:rsid w:val="00651A64"/>
    <w:rsid w:val="00651DE4"/>
    <w:rsid w:val="00652E6A"/>
    <w:rsid w:val="006530EC"/>
    <w:rsid w:val="006535B2"/>
    <w:rsid w:val="006537D8"/>
    <w:rsid w:val="00653C95"/>
    <w:rsid w:val="006540C1"/>
    <w:rsid w:val="00654AF6"/>
    <w:rsid w:val="0065743D"/>
    <w:rsid w:val="00657AEA"/>
    <w:rsid w:val="00657E31"/>
    <w:rsid w:val="006604D2"/>
    <w:rsid w:val="00661574"/>
    <w:rsid w:val="006632F4"/>
    <w:rsid w:val="006642EC"/>
    <w:rsid w:val="00664D26"/>
    <w:rsid w:val="006658D5"/>
    <w:rsid w:val="00665A98"/>
    <w:rsid w:val="006660C6"/>
    <w:rsid w:val="006668D9"/>
    <w:rsid w:val="00666E30"/>
    <w:rsid w:val="006703A1"/>
    <w:rsid w:val="00670844"/>
    <w:rsid w:val="00672168"/>
    <w:rsid w:val="006726FD"/>
    <w:rsid w:val="0067373C"/>
    <w:rsid w:val="00674356"/>
    <w:rsid w:val="00675EB1"/>
    <w:rsid w:val="006760A0"/>
    <w:rsid w:val="00677F23"/>
    <w:rsid w:val="00680023"/>
    <w:rsid w:val="006804E2"/>
    <w:rsid w:val="006813D3"/>
    <w:rsid w:val="00682301"/>
    <w:rsid w:val="00683244"/>
    <w:rsid w:val="0068362D"/>
    <w:rsid w:val="00683E93"/>
    <w:rsid w:val="00685AD3"/>
    <w:rsid w:val="00686D24"/>
    <w:rsid w:val="00690929"/>
    <w:rsid w:val="006916C0"/>
    <w:rsid w:val="006919C5"/>
    <w:rsid w:val="00691EE5"/>
    <w:rsid w:val="00691F9B"/>
    <w:rsid w:val="0069215F"/>
    <w:rsid w:val="006938F3"/>
    <w:rsid w:val="00693A50"/>
    <w:rsid w:val="00693F65"/>
    <w:rsid w:val="006945E4"/>
    <w:rsid w:val="00694B87"/>
    <w:rsid w:val="00694DBE"/>
    <w:rsid w:val="00695B7F"/>
    <w:rsid w:val="00696064"/>
    <w:rsid w:val="006964D3"/>
    <w:rsid w:val="00696DB6"/>
    <w:rsid w:val="006970CA"/>
    <w:rsid w:val="006A3593"/>
    <w:rsid w:val="006A4409"/>
    <w:rsid w:val="006A4A93"/>
    <w:rsid w:val="006A4FC4"/>
    <w:rsid w:val="006A53F7"/>
    <w:rsid w:val="006A68E1"/>
    <w:rsid w:val="006A6FA4"/>
    <w:rsid w:val="006B08D8"/>
    <w:rsid w:val="006B0C35"/>
    <w:rsid w:val="006B0F06"/>
    <w:rsid w:val="006B18A8"/>
    <w:rsid w:val="006B34A9"/>
    <w:rsid w:val="006B36C9"/>
    <w:rsid w:val="006B3742"/>
    <w:rsid w:val="006B39E3"/>
    <w:rsid w:val="006B44DC"/>
    <w:rsid w:val="006B4B86"/>
    <w:rsid w:val="006B4FB5"/>
    <w:rsid w:val="006B54D8"/>
    <w:rsid w:val="006B628D"/>
    <w:rsid w:val="006B7249"/>
    <w:rsid w:val="006B76FE"/>
    <w:rsid w:val="006B7E84"/>
    <w:rsid w:val="006C0E54"/>
    <w:rsid w:val="006C321D"/>
    <w:rsid w:val="006C3DAA"/>
    <w:rsid w:val="006C3DB7"/>
    <w:rsid w:val="006C44CD"/>
    <w:rsid w:val="006C4C29"/>
    <w:rsid w:val="006C574F"/>
    <w:rsid w:val="006C5A69"/>
    <w:rsid w:val="006C7C16"/>
    <w:rsid w:val="006D0100"/>
    <w:rsid w:val="006D06A1"/>
    <w:rsid w:val="006D0729"/>
    <w:rsid w:val="006D0B33"/>
    <w:rsid w:val="006D0D3D"/>
    <w:rsid w:val="006D20F9"/>
    <w:rsid w:val="006D2A1B"/>
    <w:rsid w:val="006D3507"/>
    <w:rsid w:val="006D38C4"/>
    <w:rsid w:val="006D5508"/>
    <w:rsid w:val="006D58F9"/>
    <w:rsid w:val="006D5E6D"/>
    <w:rsid w:val="006D62BB"/>
    <w:rsid w:val="006E0D1B"/>
    <w:rsid w:val="006E0E36"/>
    <w:rsid w:val="006E21CB"/>
    <w:rsid w:val="006E225A"/>
    <w:rsid w:val="006E2711"/>
    <w:rsid w:val="006E2B1E"/>
    <w:rsid w:val="006E432C"/>
    <w:rsid w:val="006E6691"/>
    <w:rsid w:val="006E6DC7"/>
    <w:rsid w:val="006E74E4"/>
    <w:rsid w:val="006E75C6"/>
    <w:rsid w:val="006F0C1C"/>
    <w:rsid w:val="006F1ACA"/>
    <w:rsid w:val="006F37BB"/>
    <w:rsid w:val="006F3B9B"/>
    <w:rsid w:val="006F40B9"/>
    <w:rsid w:val="006F40E7"/>
    <w:rsid w:val="006F42A9"/>
    <w:rsid w:val="006F4ED7"/>
    <w:rsid w:val="006F4F24"/>
    <w:rsid w:val="006F52F6"/>
    <w:rsid w:val="006F59DA"/>
    <w:rsid w:val="006F6281"/>
    <w:rsid w:val="006F6738"/>
    <w:rsid w:val="006F6920"/>
    <w:rsid w:val="006F7A14"/>
    <w:rsid w:val="00700557"/>
    <w:rsid w:val="007009D1"/>
    <w:rsid w:val="00700C78"/>
    <w:rsid w:val="007030A7"/>
    <w:rsid w:val="007031E0"/>
    <w:rsid w:val="0070431B"/>
    <w:rsid w:val="00704D76"/>
    <w:rsid w:val="007060A0"/>
    <w:rsid w:val="00706F05"/>
    <w:rsid w:val="00707091"/>
    <w:rsid w:val="00707D27"/>
    <w:rsid w:val="00707D9B"/>
    <w:rsid w:val="00707E96"/>
    <w:rsid w:val="00710233"/>
    <w:rsid w:val="00710F82"/>
    <w:rsid w:val="00711CA4"/>
    <w:rsid w:val="00713B5B"/>
    <w:rsid w:val="00713FB0"/>
    <w:rsid w:val="007141AB"/>
    <w:rsid w:val="007145D9"/>
    <w:rsid w:val="00714988"/>
    <w:rsid w:val="00716836"/>
    <w:rsid w:val="007201FD"/>
    <w:rsid w:val="00720939"/>
    <w:rsid w:val="00722153"/>
    <w:rsid w:val="00722256"/>
    <w:rsid w:val="00722392"/>
    <w:rsid w:val="00722838"/>
    <w:rsid w:val="007260CE"/>
    <w:rsid w:val="0072674D"/>
    <w:rsid w:val="00726F52"/>
    <w:rsid w:val="00727032"/>
    <w:rsid w:val="00730658"/>
    <w:rsid w:val="007314AE"/>
    <w:rsid w:val="00731F1E"/>
    <w:rsid w:val="007329DB"/>
    <w:rsid w:val="00732EF0"/>
    <w:rsid w:val="00733396"/>
    <w:rsid w:val="00733404"/>
    <w:rsid w:val="007334BC"/>
    <w:rsid w:val="00733CBD"/>
    <w:rsid w:val="00733D5D"/>
    <w:rsid w:val="00736183"/>
    <w:rsid w:val="007367DC"/>
    <w:rsid w:val="007405CD"/>
    <w:rsid w:val="0074090F"/>
    <w:rsid w:val="00740FCA"/>
    <w:rsid w:val="007415F9"/>
    <w:rsid w:val="00742748"/>
    <w:rsid w:val="00743400"/>
    <w:rsid w:val="007449B7"/>
    <w:rsid w:val="0074528E"/>
    <w:rsid w:val="00746398"/>
    <w:rsid w:val="00746A1E"/>
    <w:rsid w:val="007501DF"/>
    <w:rsid w:val="0075042B"/>
    <w:rsid w:val="00751184"/>
    <w:rsid w:val="00751BB8"/>
    <w:rsid w:val="00751DB0"/>
    <w:rsid w:val="00752866"/>
    <w:rsid w:val="00752CC7"/>
    <w:rsid w:val="007542C0"/>
    <w:rsid w:val="00754B9F"/>
    <w:rsid w:val="00754E29"/>
    <w:rsid w:val="00755AB3"/>
    <w:rsid w:val="00757637"/>
    <w:rsid w:val="0075782C"/>
    <w:rsid w:val="0076043E"/>
    <w:rsid w:val="00760463"/>
    <w:rsid w:val="00762228"/>
    <w:rsid w:val="0076289E"/>
    <w:rsid w:val="00764889"/>
    <w:rsid w:val="00765357"/>
    <w:rsid w:val="00765574"/>
    <w:rsid w:val="007657BE"/>
    <w:rsid w:val="00767A14"/>
    <w:rsid w:val="007707AC"/>
    <w:rsid w:val="007712FE"/>
    <w:rsid w:val="00771DA3"/>
    <w:rsid w:val="007737E0"/>
    <w:rsid w:val="00774408"/>
    <w:rsid w:val="00776237"/>
    <w:rsid w:val="00776A7A"/>
    <w:rsid w:val="00780546"/>
    <w:rsid w:val="00782BE4"/>
    <w:rsid w:val="007839D7"/>
    <w:rsid w:val="007845CD"/>
    <w:rsid w:val="00784918"/>
    <w:rsid w:val="00784E55"/>
    <w:rsid w:val="00786344"/>
    <w:rsid w:val="00786347"/>
    <w:rsid w:val="0078656F"/>
    <w:rsid w:val="00787C3F"/>
    <w:rsid w:val="00790394"/>
    <w:rsid w:val="00790D78"/>
    <w:rsid w:val="0079192E"/>
    <w:rsid w:val="0079374E"/>
    <w:rsid w:val="00793D29"/>
    <w:rsid w:val="00795486"/>
    <w:rsid w:val="007958D8"/>
    <w:rsid w:val="00796F67"/>
    <w:rsid w:val="00797D3F"/>
    <w:rsid w:val="007A0AF5"/>
    <w:rsid w:val="007A0B7E"/>
    <w:rsid w:val="007A0FA6"/>
    <w:rsid w:val="007A0FEA"/>
    <w:rsid w:val="007A1E0C"/>
    <w:rsid w:val="007A2B71"/>
    <w:rsid w:val="007A3055"/>
    <w:rsid w:val="007A30D9"/>
    <w:rsid w:val="007A363B"/>
    <w:rsid w:val="007A3B09"/>
    <w:rsid w:val="007A3BEB"/>
    <w:rsid w:val="007A5D83"/>
    <w:rsid w:val="007A7CDC"/>
    <w:rsid w:val="007B04AD"/>
    <w:rsid w:val="007B120B"/>
    <w:rsid w:val="007B2F6F"/>
    <w:rsid w:val="007B34A2"/>
    <w:rsid w:val="007B3BB6"/>
    <w:rsid w:val="007B5EF7"/>
    <w:rsid w:val="007B64AF"/>
    <w:rsid w:val="007B6564"/>
    <w:rsid w:val="007B7FD6"/>
    <w:rsid w:val="007C0922"/>
    <w:rsid w:val="007C1323"/>
    <w:rsid w:val="007C2EC4"/>
    <w:rsid w:val="007C3484"/>
    <w:rsid w:val="007C3FDB"/>
    <w:rsid w:val="007C4AD9"/>
    <w:rsid w:val="007C54C4"/>
    <w:rsid w:val="007C609F"/>
    <w:rsid w:val="007C669A"/>
    <w:rsid w:val="007C6A98"/>
    <w:rsid w:val="007C6D09"/>
    <w:rsid w:val="007C6E6A"/>
    <w:rsid w:val="007D1118"/>
    <w:rsid w:val="007D2D96"/>
    <w:rsid w:val="007D3D83"/>
    <w:rsid w:val="007D4721"/>
    <w:rsid w:val="007D505F"/>
    <w:rsid w:val="007D507A"/>
    <w:rsid w:val="007D595B"/>
    <w:rsid w:val="007D5AB6"/>
    <w:rsid w:val="007D7EFA"/>
    <w:rsid w:val="007E028D"/>
    <w:rsid w:val="007E0E5A"/>
    <w:rsid w:val="007E27E2"/>
    <w:rsid w:val="007E30E0"/>
    <w:rsid w:val="007E3FB7"/>
    <w:rsid w:val="007E40CA"/>
    <w:rsid w:val="007E4104"/>
    <w:rsid w:val="007E41DF"/>
    <w:rsid w:val="007E4416"/>
    <w:rsid w:val="007E4B25"/>
    <w:rsid w:val="007E5627"/>
    <w:rsid w:val="007E642E"/>
    <w:rsid w:val="007E6839"/>
    <w:rsid w:val="007E6C06"/>
    <w:rsid w:val="007E76BA"/>
    <w:rsid w:val="007E77EA"/>
    <w:rsid w:val="007F031E"/>
    <w:rsid w:val="007F10A7"/>
    <w:rsid w:val="007F115E"/>
    <w:rsid w:val="007F1F15"/>
    <w:rsid w:val="007F23FE"/>
    <w:rsid w:val="007F3565"/>
    <w:rsid w:val="007F5FDB"/>
    <w:rsid w:val="007F6C67"/>
    <w:rsid w:val="00800506"/>
    <w:rsid w:val="008006C5"/>
    <w:rsid w:val="00801BAC"/>
    <w:rsid w:val="00803518"/>
    <w:rsid w:val="0080423F"/>
    <w:rsid w:val="00804A50"/>
    <w:rsid w:val="00805B97"/>
    <w:rsid w:val="0080793F"/>
    <w:rsid w:val="00807AAF"/>
    <w:rsid w:val="00807FEE"/>
    <w:rsid w:val="00812EE8"/>
    <w:rsid w:val="00813453"/>
    <w:rsid w:val="008139EA"/>
    <w:rsid w:val="00816DE4"/>
    <w:rsid w:val="00816EE5"/>
    <w:rsid w:val="0081704F"/>
    <w:rsid w:val="00817346"/>
    <w:rsid w:val="00817E88"/>
    <w:rsid w:val="0082000D"/>
    <w:rsid w:val="00820D5D"/>
    <w:rsid w:val="00820EC8"/>
    <w:rsid w:val="0082123A"/>
    <w:rsid w:val="008217E2"/>
    <w:rsid w:val="00822641"/>
    <w:rsid w:val="00824568"/>
    <w:rsid w:val="008250F2"/>
    <w:rsid w:val="00825769"/>
    <w:rsid w:val="00827466"/>
    <w:rsid w:val="00827962"/>
    <w:rsid w:val="008316D1"/>
    <w:rsid w:val="008326FB"/>
    <w:rsid w:val="00832849"/>
    <w:rsid w:val="00832DB8"/>
    <w:rsid w:val="00832FD7"/>
    <w:rsid w:val="008331ED"/>
    <w:rsid w:val="00833403"/>
    <w:rsid w:val="00833A60"/>
    <w:rsid w:val="00834515"/>
    <w:rsid w:val="0083541D"/>
    <w:rsid w:val="00836333"/>
    <w:rsid w:val="008365F8"/>
    <w:rsid w:val="008374D5"/>
    <w:rsid w:val="00837E14"/>
    <w:rsid w:val="00842409"/>
    <w:rsid w:val="008426B3"/>
    <w:rsid w:val="0084289D"/>
    <w:rsid w:val="008428AD"/>
    <w:rsid w:val="008439C5"/>
    <w:rsid w:val="008457E7"/>
    <w:rsid w:val="00845AC6"/>
    <w:rsid w:val="00845E6C"/>
    <w:rsid w:val="00846387"/>
    <w:rsid w:val="00846CDC"/>
    <w:rsid w:val="00846DE0"/>
    <w:rsid w:val="0084715D"/>
    <w:rsid w:val="00847453"/>
    <w:rsid w:val="008477C3"/>
    <w:rsid w:val="00850561"/>
    <w:rsid w:val="00851861"/>
    <w:rsid w:val="00853761"/>
    <w:rsid w:val="00853A17"/>
    <w:rsid w:val="00853AA7"/>
    <w:rsid w:val="008543E7"/>
    <w:rsid w:val="00854A91"/>
    <w:rsid w:val="00856305"/>
    <w:rsid w:val="00856509"/>
    <w:rsid w:val="00857EFA"/>
    <w:rsid w:val="008601C5"/>
    <w:rsid w:val="008615E2"/>
    <w:rsid w:val="008622AF"/>
    <w:rsid w:val="00862FD4"/>
    <w:rsid w:val="00863175"/>
    <w:rsid w:val="008640D7"/>
    <w:rsid w:val="00864FA0"/>
    <w:rsid w:val="00866CE7"/>
    <w:rsid w:val="00867444"/>
    <w:rsid w:val="008710CA"/>
    <w:rsid w:val="008713EA"/>
    <w:rsid w:val="008736E5"/>
    <w:rsid w:val="00873B93"/>
    <w:rsid w:val="0087515C"/>
    <w:rsid w:val="00876EA8"/>
    <w:rsid w:val="00877514"/>
    <w:rsid w:val="008800D4"/>
    <w:rsid w:val="008804D2"/>
    <w:rsid w:val="008808DF"/>
    <w:rsid w:val="008809E3"/>
    <w:rsid w:val="00880E04"/>
    <w:rsid w:val="00880EC9"/>
    <w:rsid w:val="00881422"/>
    <w:rsid w:val="00881700"/>
    <w:rsid w:val="00881BCE"/>
    <w:rsid w:val="008822B6"/>
    <w:rsid w:val="008826EC"/>
    <w:rsid w:val="00882D0A"/>
    <w:rsid w:val="00883F2A"/>
    <w:rsid w:val="00884C52"/>
    <w:rsid w:val="008859EE"/>
    <w:rsid w:val="008863F2"/>
    <w:rsid w:val="00886A33"/>
    <w:rsid w:val="00887EC1"/>
    <w:rsid w:val="00890CCB"/>
    <w:rsid w:val="008912B8"/>
    <w:rsid w:val="008915ED"/>
    <w:rsid w:val="0089193C"/>
    <w:rsid w:val="00891B97"/>
    <w:rsid w:val="00892787"/>
    <w:rsid w:val="00893E1F"/>
    <w:rsid w:val="0089480A"/>
    <w:rsid w:val="00894A38"/>
    <w:rsid w:val="00894BD1"/>
    <w:rsid w:val="00894C8C"/>
    <w:rsid w:val="00894E8A"/>
    <w:rsid w:val="0089620D"/>
    <w:rsid w:val="00896A47"/>
    <w:rsid w:val="00896ED6"/>
    <w:rsid w:val="0089706D"/>
    <w:rsid w:val="00897800"/>
    <w:rsid w:val="008A184D"/>
    <w:rsid w:val="008A194D"/>
    <w:rsid w:val="008A1C27"/>
    <w:rsid w:val="008A1CDB"/>
    <w:rsid w:val="008A1EF2"/>
    <w:rsid w:val="008A1F8B"/>
    <w:rsid w:val="008A238D"/>
    <w:rsid w:val="008A2413"/>
    <w:rsid w:val="008A2581"/>
    <w:rsid w:val="008A2C67"/>
    <w:rsid w:val="008A334D"/>
    <w:rsid w:val="008A55C5"/>
    <w:rsid w:val="008A5869"/>
    <w:rsid w:val="008A5FAF"/>
    <w:rsid w:val="008A753C"/>
    <w:rsid w:val="008A7CA4"/>
    <w:rsid w:val="008B04FC"/>
    <w:rsid w:val="008B0761"/>
    <w:rsid w:val="008B0C91"/>
    <w:rsid w:val="008B389B"/>
    <w:rsid w:val="008B4527"/>
    <w:rsid w:val="008B4851"/>
    <w:rsid w:val="008B53C5"/>
    <w:rsid w:val="008B5CC8"/>
    <w:rsid w:val="008B5D64"/>
    <w:rsid w:val="008B5DF2"/>
    <w:rsid w:val="008B73D6"/>
    <w:rsid w:val="008C3366"/>
    <w:rsid w:val="008C43C4"/>
    <w:rsid w:val="008C4CAD"/>
    <w:rsid w:val="008C52C5"/>
    <w:rsid w:val="008C5B9A"/>
    <w:rsid w:val="008C637E"/>
    <w:rsid w:val="008C651B"/>
    <w:rsid w:val="008D0242"/>
    <w:rsid w:val="008D1958"/>
    <w:rsid w:val="008D2AC2"/>
    <w:rsid w:val="008D2AF2"/>
    <w:rsid w:val="008D2DF2"/>
    <w:rsid w:val="008D3D31"/>
    <w:rsid w:val="008D58E1"/>
    <w:rsid w:val="008D6235"/>
    <w:rsid w:val="008D63B2"/>
    <w:rsid w:val="008D72FB"/>
    <w:rsid w:val="008D7E56"/>
    <w:rsid w:val="008E0599"/>
    <w:rsid w:val="008E0CE5"/>
    <w:rsid w:val="008E1ACD"/>
    <w:rsid w:val="008E24B5"/>
    <w:rsid w:val="008E258F"/>
    <w:rsid w:val="008E2A32"/>
    <w:rsid w:val="008E322E"/>
    <w:rsid w:val="008E3DEE"/>
    <w:rsid w:val="008E4423"/>
    <w:rsid w:val="008E5247"/>
    <w:rsid w:val="008E7E9B"/>
    <w:rsid w:val="008F0397"/>
    <w:rsid w:val="008F076E"/>
    <w:rsid w:val="008F1BD8"/>
    <w:rsid w:val="008F29AE"/>
    <w:rsid w:val="008F3741"/>
    <w:rsid w:val="008F3F06"/>
    <w:rsid w:val="008F537F"/>
    <w:rsid w:val="008F7521"/>
    <w:rsid w:val="008F7C40"/>
    <w:rsid w:val="008F7C74"/>
    <w:rsid w:val="00900260"/>
    <w:rsid w:val="009002B7"/>
    <w:rsid w:val="00900962"/>
    <w:rsid w:val="009011B8"/>
    <w:rsid w:val="00901501"/>
    <w:rsid w:val="0090151F"/>
    <w:rsid w:val="00901C19"/>
    <w:rsid w:val="009026D2"/>
    <w:rsid w:val="0090349E"/>
    <w:rsid w:val="0090363E"/>
    <w:rsid w:val="00904218"/>
    <w:rsid w:val="009043E5"/>
    <w:rsid w:val="00904E79"/>
    <w:rsid w:val="00905F63"/>
    <w:rsid w:val="009072A5"/>
    <w:rsid w:val="0091143F"/>
    <w:rsid w:val="009115AD"/>
    <w:rsid w:val="00911AED"/>
    <w:rsid w:val="00912131"/>
    <w:rsid w:val="00916D86"/>
    <w:rsid w:val="0091725E"/>
    <w:rsid w:val="00917AC0"/>
    <w:rsid w:val="0092040C"/>
    <w:rsid w:val="009214E7"/>
    <w:rsid w:val="00921909"/>
    <w:rsid w:val="009220BB"/>
    <w:rsid w:val="00922708"/>
    <w:rsid w:val="00922D72"/>
    <w:rsid w:val="00923F03"/>
    <w:rsid w:val="0092417A"/>
    <w:rsid w:val="00924C71"/>
    <w:rsid w:val="00925519"/>
    <w:rsid w:val="009259BE"/>
    <w:rsid w:val="009262F9"/>
    <w:rsid w:val="00926366"/>
    <w:rsid w:val="0092677E"/>
    <w:rsid w:val="00927585"/>
    <w:rsid w:val="00927BDE"/>
    <w:rsid w:val="0093031B"/>
    <w:rsid w:val="00930494"/>
    <w:rsid w:val="009312D0"/>
    <w:rsid w:val="009322C7"/>
    <w:rsid w:val="009325B0"/>
    <w:rsid w:val="0093281B"/>
    <w:rsid w:val="009328E8"/>
    <w:rsid w:val="00933392"/>
    <w:rsid w:val="00933485"/>
    <w:rsid w:val="0093368B"/>
    <w:rsid w:val="00933961"/>
    <w:rsid w:val="00936177"/>
    <w:rsid w:val="00936314"/>
    <w:rsid w:val="00940071"/>
    <w:rsid w:val="00940BB9"/>
    <w:rsid w:val="00941DF3"/>
    <w:rsid w:val="00941F0C"/>
    <w:rsid w:val="00943238"/>
    <w:rsid w:val="00943525"/>
    <w:rsid w:val="00943E13"/>
    <w:rsid w:val="00943EA6"/>
    <w:rsid w:val="009454AD"/>
    <w:rsid w:val="00945CC3"/>
    <w:rsid w:val="00945FF0"/>
    <w:rsid w:val="0094640D"/>
    <w:rsid w:val="00946D94"/>
    <w:rsid w:val="009477C9"/>
    <w:rsid w:val="00947DCE"/>
    <w:rsid w:val="009512C9"/>
    <w:rsid w:val="0095164A"/>
    <w:rsid w:val="00952575"/>
    <w:rsid w:val="009532D8"/>
    <w:rsid w:val="009541D1"/>
    <w:rsid w:val="00955BDA"/>
    <w:rsid w:val="00956352"/>
    <w:rsid w:val="00957719"/>
    <w:rsid w:val="00957A28"/>
    <w:rsid w:val="00957F82"/>
    <w:rsid w:val="009600A8"/>
    <w:rsid w:val="0096087D"/>
    <w:rsid w:val="009626B9"/>
    <w:rsid w:val="00963969"/>
    <w:rsid w:val="00964319"/>
    <w:rsid w:val="009663C8"/>
    <w:rsid w:val="0096682A"/>
    <w:rsid w:val="00966F04"/>
    <w:rsid w:val="00967315"/>
    <w:rsid w:val="0096746A"/>
    <w:rsid w:val="00970189"/>
    <w:rsid w:val="009705F1"/>
    <w:rsid w:val="00970636"/>
    <w:rsid w:val="00973714"/>
    <w:rsid w:val="00974079"/>
    <w:rsid w:val="009741EF"/>
    <w:rsid w:val="009751FB"/>
    <w:rsid w:val="00975579"/>
    <w:rsid w:val="00976172"/>
    <w:rsid w:val="009764EF"/>
    <w:rsid w:val="00976D80"/>
    <w:rsid w:val="00976D8B"/>
    <w:rsid w:val="00977112"/>
    <w:rsid w:val="00980727"/>
    <w:rsid w:val="009810F3"/>
    <w:rsid w:val="00984962"/>
    <w:rsid w:val="009849DA"/>
    <w:rsid w:val="0098505D"/>
    <w:rsid w:val="0098604F"/>
    <w:rsid w:val="00987153"/>
    <w:rsid w:val="0098767A"/>
    <w:rsid w:val="009876C2"/>
    <w:rsid w:val="00987E87"/>
    <w:rsid w:val="00990B4A"/>
    <w:rsid w:val="00991756"/>
    <w:rsid w:val="00993DFB"/>
    <w:rsid w:val="00993E85"/>
    <w:rsid w:val="00994BB9"/>
    <w:rsid w:val="009950E3"/>
    <w:rsid w:val="00996E48"/>
    <w:rsid w:val="0099717C"/>
    <w:rsid w:val="00997458"/>
    <w:rsid w:val="00997BC7"/>
    <w:rsid w:val="009A03B1"/>
    <w:rsid w:val="009A049C"/>
    <w:rsid w:val="009A0C30"/>
    <w:rsid w:val="009A1986"/>
    <w:rsid w:val="009A2411"/>
    <w:rsid w:val="009A24D5"/>
    <w:rsid w:val="009A3A62"/>
    <w:rsid w:val="009A4090"/>
    <w:rsid w:val="009A4FF5"/>
    <w:rsid w:val="009A5128"/>
    <w:rsid w:val="009A629B"/>
    <w:rsid w:val="009A7CCE"/>
    <w:rsid w:val="009B3314"/>
    <w:rsid w:val="009B44D0"/>
    <w:rsid w:val="009B45F7"/>
    <w:rsid w:val="009B512A"/>
    <w:rsid w:val="009B597E"/>
    <w:rsid w:val="009B5F21"/>
    <w:rsid w:val="009B5F8A"/>
    <w:rsid w:val="009B710D"/>
    <w:rsid w:val="009C02BF"/>
    <w:rsid w:val="009C0CC9"/>
    <w:rsid w:val="009C11AF"/>
    <w:rsid w:val="009C17B9"/>
    <w:rsid w:val="009C3875"/>
    <w:rsid w:val="009C4CA7"/>
    <w:rsid w:val="009C4D97"/>
    <w:rsid w:val="009C4DA5"/>
    <w:rsid w:val="009C5817"/>
    <w:rsid w:val="009C601C"/>
    <w:rsid w:val="009D05F6"/>
    <w:rsid w:val="009D1DAA"/>
    <w:rsid w:val="009D356D"/>
    <w:rsid w:val="009D37B2"/>
    <w:rsid w:val="009D42C7"/>
    <w:rsid w:val="009D4CC8"/>
    <w:rsid w:val="009D5950"/>
    <w:rsid w:val="009D5D9D"/>
    <w:rsid w:val="009D6006"/>
    <w:rsid w:val="009D61C7"/>
    <w:rsid w:val="009D6535"/>
    <w:rsid w:val="009D7839"/>
    <w:rsid w:val="009E5A1E"/>
    <w:rsid w:val="009E5A52"/>
    <w:rsid w:val="009E6071"/>
    <w:rsid w:val="009E6097"/>
    <w:rsid w:val="009E6E59"/>
    <w:rsid w:val="009E6F6D"/>
    <w:rsid w:val="009E788B"/>
    <w:rsid w:val="009E7DEE"/>
    <w:rsid w:val="009E7F8E"/>
    <w:rsid w:val="009F0637"/>
    <w:rsid w:val="009F077F"/>
    <w:rsid w:val="009F07DF"/>
    <w:rsid w:val="009F0C5E"/>
    <w:rsid w:val="009F1DF6"/>
    <w:rsid w:val="009F207C"/>
    <w:rsid w:val="009F2163"/>
    <w:rsid w:val="009F26F9"/>
    <w:rsid w:val="009F5261"/>
    <w:rsid w:val="009F674B"/>
    <w:rsid w:val="009F7F60"/>
    <w:rsid w:val="00A03A56"/>
    <w:rsid w:val="00A051C6"/>
    <w:rsid w:val="00A05ACE"/>
    <w:rsid w:val="00A05E42"/>
    <w:rsid w:val="00A10F41"/>
    <w:rsid w:val="00A1174C"/>
    <w:rsid w:val="00A11B62"/>
    <w:rsid w:val="00A13EF3"/>
    <w:rsid w:val="00A143C5"/>
    <w:rsid w:val="00A1466D"/>
    <w:rsid w:val="00A152EA"/>
    <w:rsid w:val="00A15737"/>
    <w:rsid w:val="00A1615B"/>
    <w:rsid w:val="00A16B90"/>
    <w:rsid w:val="00A21111"/>
    <w:rsid w:val="00A22684"/>
    <w:rsid w:val="00A22846"/>
    <w:rsid w:val="00A2388C"/>
    <w:rsid w:val="00A238F1"/>
    <w:rsid w:val="00A23E1B"/>
    <w:rsid w:val="00A25530"/>
    <w:rsid w:val="00A2598D"/>
    <w:rsid w:val="00A26146"/>
    <w:rsid w:val="00A269CF"/>
    <w:rsid w:val="00A27119"/>
    <w:rsid w:val="00A27A06"/>
    <w:rsid w:val="00A3030E"/>
    <w:rsid w:val="00A308A2"/>
    <w:rsid w:val="00A31381"/>
    <w:rsid w:val="00A32F2F"/>
    <w:rsid w:val="00A3316A"/>
    <w:rsid w:val="00A334DB"/>
    <w:rsid w:val="00A33AD8"/>
    <w:rsid w:val="00A34811"/>
    <w:rsid w:val="00A3492C"/>
    <w:rsid w:val="00A3509A"/>
    <w:rsid w:val="00A35A56"/>
    <w:rsid w:val="00A36E89"/>
    <w:rsid w:val="00A378E8"/>
    <w:rsid w:val="00A40DE5"/>
    <w:rsid w:val="00A4104C"/>
    <w:rsid w:val="00A4259E"/>
    <w:rsid w:val="00A42771"/>
    <w:rsid w:val="00A43115"/>
    <w:rsid w:val="00A435C2"/>
    <w:rsid w:val="00A436A4"/>
    <w:rsid w:val="00A444A8"/>
    <w:rsid w:val="00A46173"/>
    <w:rsid w:val="00A467F3"/>
    <w:rsid w:val="00A46931"/>
    <w:rsid w:val="00A46BB4"/>
    <w:rsid w:val="00A46C9B"/>
    <w:rsid w:val="00A46D90"/>
    <w:rsid w:val="00A503BA"/>
    <w:rsid w:val="00A52C37"/>
    <w:rsid w:val="00A52F28"/>
    <w:rsid w:val="00A53089"/>
    <w:rsid w:val="00A53DBD"/>
    <w:rsid w:val="00A54157"/>
    <w:rsid w:val="00A542EF"/>
    <w:rsid w:val="00A55202"/>
    <w:rsid w:val="00A56524"/>
    <w:rsid w:val="00A57A66"/>
    <w:rsid w:val="00A57AF4"/>
    <w:rsid w:val="00A60575"/>
    <w:rsid w:val="00A60DF5"/>
    <w:rsid w:val="00A61143"/>
    <w:rsid w:val="00A61701"/>
    <w:rsid w:val="00A617AC"/>
    <w:rsid w:val="00A61CAE"/>
    <w:rsid w:val="00A630CF"/>
    <w:rsid w:val="00A639A5"/>
    <w:rsid w:val="00A63FAD"/>
    <w:rsid w:val="00A64C15"/>
    <w:rsid w:val="00A651C5"/>
    <w:rsid w:val="00A6540C"/>
    <w:rsid w:val="00A65F16"/>
    <w:rsid w:val="00A66083"/>
    <w:rsid w:val="00A66CFA"/>
    <w:rsid w:val="00A672D8"/>
    <w:rsid w:val="00A717DA"/>
    <w:rsid w:val="00A71EF4"/>
    <w:rsid w:val="00A73DFD"/>
    <w:rsid w:val="00A74350"/>
    <w:rsid w:val="00A7472A"/>
    <w:rsid w:val="00A74EBB"/>
    <w:rsid w:val="00A75755"/>
    <w:rsid w:val="00A75E84"/>
    <w:rsid w:val="00A76D25"/>
    <w:rsid w:val="00A76DB3"/>
    <w:rsid w:val="00A771B4"/>
    <w:rsid w:val="00A8007A"/>
    <w:rsid w:val="00A80FF3"/>
    <w:rsid w:val="00A81B7A"/>
    <w:rsid w:val="00A828DF"/>
    <w:rsid w:val="00A82EEE"/>
    <w:rsid w:val="00A84F9A"/>
    <w:rsid w:val="00A8550A"/>
    <w:rsid w:val="00A85D60"/>
    <w:rsid w:val="00A86A20"/>
    <w:rsid w:val="00A86B58"/>
    <w:rsid w:val="00A870A7"/>
    <w:rsid w:val="00A90E5A"/>
    <w:rsid w:val="00A90ED6"/>
    <w:rsid w:val="00A91326"/>
    <w:rsid w:val="00A92404"/>
    <w:rsid w:val="00A924B2"/>
    <w:rsid w:val="00A93354"/>
    <w:rsid w:val="00A934FB"/>
    <w:rsid w:val="00A93BEB"/>
    <w:rsid w:val="00A93FA0"/>
    <w:rsid w:val="00A94947"/>
    <w:rsid w:val="00A9515B"/>
    <w:rsid w:val="00A95886"/>
    <w:rsid w:val="00A95A1D"/>
    <w:rsid w:val="00A9628B"/>
    <w:rsid w:val="00A9656A"/>
    <w:rsid w:val="00AA145C"/>
    <w:rsid w:val="00AA190B"/>
    <w:rsid w:val="00AA21D0"/>
    <w:rsid w:val="00AA2888"/>
    <w:rsid w:val="00AA348C"/>
    <w:rsid w:val="00AA4288"/>
    <w:rsid w:val="00AA5184"/>
    <w:rsid w:val="00AA655C"/>
    <w:rsid w:val="00AA6DF4"/>
    <w:rsid w:val="00AB15EE"/>
    <w:rsid w:val="00AB281F"/>
    <w:rsid w:val="00AB2CCC"/>
    <w:rsid w:val="00AB2E75"/>
    <w:rsid w:val="00AB2FC2"/>
    <w:rsid w:val="00AB450F"/>
    <w:rsid w:val="00AC0B45"/>
    <w:rsid w:val="00AC17F6"/>
    <w:rsid w:val="00AC293F"/>
    <w:rsid w:val="00AC36B7"/>
    <w:rsid w:val="00AC371B"/>
    <w:rsid w:val="00AC388C"/>
    <w:rsid w:val="00AC404F"/>
    <w:rsid w:val="00AD0F8E"/>
    <w:rsid w:val="00AD10D6"/>
    <w:rsid w:val="00AD11F8"/>
    <w:rsid w:val="00AD14C1"/>
    <w:rsid w:val="00AD18AE"/>
    <w:rsid w:val="00AD19FF"/>
    <w:rsid w:val="00AD24D2"/>
    <w:rsid w:val="00AD2DD6"/>
    <w:rsid w:val="00AD305B"/>
    <w:rsid w:val="00AD36BB"/>
    <w:rsid w:val="00AD3DD7"/>
    <w:rsid w:val="00AD40E0"/>
    <w:rsid w:val="00AD4151"/>
    <w:rsid w:val="00AD442A"/>
    <w:rsid w:val="00AD48FD"/>
    <w:rsid w:val="00AD4B7D"/>
    <w:rsid w:val="00AD60E0"/>
    <w:rsid w:val="00AE0031"/>
    <w:rsid w:val="00AE09A7"/>
    <w:rsid w:val="00AE2245"/>
    <w:rsid w:val="00AE3042"/>
    <w:rsid w:val="00AE306F"/>
    <w:rsid w:val="00AE4335"/>
    <w:rsid w:val="00AE58BB"/>
    <w:rsid w:val="00AE5AA3"/>
    <w:rsid w:val="00AE5C44"/>
    <w:rsid w:val="00AE6C23"/>
    <w:rsid w:val="00AE752E"/>
    <w:rsid w:val="00AE7596"/>
    <w:rsid w:val="00AE7717"/>
    <w:rsid w:val="00AF0E52"/>
    <w:rsid w:val="00AF16BD"/>
    <w:rsid w:val="00AF1C34"/>
    <w:rsid w:val="00AF25B7"/>
    <w:rsid w:val="00AF31DB"/>
    <w:rsid w:val="00AF3264"/>
    <w:rsid w:val="00AF378E"/>
    <w:rsid w:val="00AF4DE4"/>
    <w:rsid w:val="00AF4E84"/>
    <w:rsid w:val="00AF5618"/>
    <w:rsid w:val="00AF5BE4"/>
    <w:rsid w:val="00AF62DB"/>
    <w:rsid w:val="00AF6505"/>
    <w:rsid w:val="00AF6FE8"/>
    <w:rsid w:val="00AF7096"/>
    <w:rsid w:val="00AF727D"/>
    <w:rsid w:val="00AF7AEA"/>
    <w:rsid w:val="00B00802"/>
    <w:rsid w:val="00B00B41"/>
    <w:rsid w:val="00B01879"/>
    <w:rsid w:val="00B01988"/>
    <w:rsid w:val="00B02DD3"/>
    <w:rsid w:val="00B02E10"/>
    <w:rsid w:val="00B03648"/>
    <w:rsid w:val="00B037C6"/>
    <w:rsid w:val="00B03811"/>
    <w:rsid w:val="00B04636"/>
    <w:rsid w:val="00B05B22"/>
    <w:rsid w:val="00B06EE7"/>
    <w:rsid w:val="00B06FBE"/>
    <w:rsid w:val="00B07D2A"/>
    <w:rsid w:val="00B104EC"/>
    <w:rsid w:val="00B113B4"/>
    <w:rsid w:val="00B115BF"/>
    <w:rsid w:val="00B12915"/>
    <w:rsid w:val="00B132E7"/>
    <w:rsid w:val="00B14A0D"/>
    <w:rsid w:val="00B153BC"/>
    <w:rsid w:val="00B1571D"/>
    <w:rsid w:val="00B166EA"/>
    <w:rsid w:val="00B17462"/>
    <w:rsid w:val="00B204EE"/>
    <w:rsid w:val="00B214E4"/>
    <w:rsid w:val="00B21C5F"/>
    <w:rsid w:val="00B2208C"/>
    <w:rsid w:val="00B231A0"/>
    <w:rsid w:val="00B237AF"/>
    <w:rsid w:val="00B24116"/>
    <w:rsid w:val="00B241F0"/>
    <w:rsid w:val="00B24CA6"/>
    <w:rsid w:val="00B24CE7"/>
    <w:rsid w:val="00B25232"/>
    <w:rsid w:val="00B25BCB"/>
    <w:rsid w:val="00B261A8"/>
    <w:rsid w:val="00B26BDD"/>
    <w:rsid w:val="00B26EA9"/>
    <w:rsid w:val="00B31152"/>
    <w:rsid w:val="00B31924"/>
    <w:rsid w:val="00B31B86"/>
    <w:rsid w:val="00B328BE"/>
    <w:rsid w:val="00B32C2C"/>
    <w:rsid w:val="00B33F83"/>
    <w:rsid w:val="00B34436"/>
    <w:rsid w:val="00B3628D"/>
    <w:rsid w:val="00B36955"/>
    <w:rsid w:val="00B36E29"/>
    <w:rsid w:val="00B370A7"/>
    <w:rsid w:val="00B408F9"/>
    <w:rsid w:val="00B40A82"/>
    <w:rsid w:val="00B40B47"/>
    <w:rsid w:val="00B4145C"/>
    <w:rsid w:val="00B41AE4"/>
    <w:rsid w:val="00B4216B"/>
    <w:rsid w:val="00B43014"/>
    <w:rsid w:val="00B43F55"/>
    <w:rsid w:val="00B44596"/>
    <w:rsid w:val="00B455B6"/>
    <w:rsid w:val="00B45E77"/>
    <w:rsid w:val="00B468B2"/>
    <w:rsid w:val="00B471C1"/>
    <w:rsid w:val="00B5027B"/>
    <w:rsid w:val="00B50704"/>
    <w:rsid w:val="00B50CD5"/>
    <w:rsid w:val="00B522D9"/>
    <w:rsid w:val="00B527C3"/>
    <w:rsid w:val="00B538D8"/>
    <w:rsid w:val="00B56B7D"/>
    <w:rsid w:val="00B56EF9"/>
    <w:rsid w:val="00B57380"/>
    <w:rsid w:val="00B6230E"/>
    <w:rsid w:val="00B63F71"/>
    <w:rsid w:val="00B640F2"/>
    <w:rsid w:val="00B64448"/>
    <w:rsid w:val="00B649D5"/>
    <w:rsid w:val="00B64D33"/>
    <w:rsid w:val="00B64E64"/>
    <w:rsid w:val="00B6539F"/>
    <w:rsid w:val="00B6562D"/>
    <w:rsid w:val="00B664AA"/>
    <w:rsid w:val="00B67397"/>
    <w:rsid w:val="00B679C4"/>
    <w:rsid w:val="00B67A8B"/>
    <w:rsid w:val="00B700CA"/>
    <w:rsid w:val="00B70A81"/>
    <w:rsid w:val="00B70DA0"/>
    <w:rsid w:val="00B71B8F"/>
    <w:rsid w:val="00B72898"/>
    <w:rsid w:val="00B73C37"/>
    <w:rsid w:val="00B746A7"/>
    <w:rsid w:val="00B74ABB"/>
    <w:rsid w:val="00B74B76"/>
    <w:rsid w:val="00B75783"/>
    <w:rsid w:val="00B76EAF"/>
    <w:rsid w:val="00B776CA"/>
    <w:rsid w:val="00B77E5B"/>
    <w:rsid w:val="00B8099B"/>
    <w:rsid w:val="00B812D2"/>
    <w:rsid w:val="00B830D3"/>
    <w:rsid w:val="00B833F7"/>
    <w:rsid w:val="00B83B8F"/>
    <w:rsid w:val="00B83E8A"/>
    <w:rsid w:val="00B848BC"/>
    <w:rsid w:val="00B84A96"/>
    <w:rsid w:val="00B8507E"/>
    <w:rsid w:val="00B87711"/>
    <w:rsid w:val="00B91089"/>
    <w:rsid w:val="00B91D03"/>
    <w:rsid w:val="00B9218A"/>
    <w:rsid w:val="00B93140"/>
    <w:rsid w:val="00B96059"/>
    <w:rsid w:val="00B9652D"/>
    <w:rsid w:val="00BA077F"/>
    <w:rsid w:val="00BA106A"/>
    <w:rsid w:val="00BA1AE1"/>
    <w:rsid w:val="00BA2629"/>
    <w:rsid w:val="00BA26E3"/>
    <w:rsid w:val="00BA2DE7"/>
    <w:rsid w:val="00BA42B0"/>
    <w:rsid w:val="00BA4ED1"/>
    <w:rsid w:val="00BA58FC"/>
    <w:rsid w:val="00BA6351"/>
    <w:rsid w:val="00BA6C3B"/>
    <w:rsid w:val="00BA7A85"/>
    <w:rsid w:val="00BB0E41"/>
    <w:rsid w:val="00BB10E8"/>
    <w:rsid w:val="00BB11C6"/>
    <w:rsid w:val="00BB19B5"/>
    <w:rsid w:val="00BB3564"/>
    <w:rsid w:val="00BB47CB"/>
    <w:rsid w:val="00BB6148"/>
    <w:rsid w:val="00BB66C6"/>
    <w:rsid w:val="00BB682F"/>
    <w:rsid w:val="00BB68DB"/>
    <w:rsid w:val="00BB6EB6"/>
    <w:rsid w:val="00BC15D5"/>
    <w:rsid w:val="00BC360F"/>
    <w:rsid w:val="00BC463F"/>
    <w:rsid w:val="00BC4B3F"/>
    <w:rsid w:val="00BC5140"/>
    <w:rsid w:val="00BC523B"/>
    <w:rsid w:val="00BC6128"/>
    <w:rsid w:val="00BC75F7"/>
    <w:rsid w:val="00BC79E5"/>
    <w:rsid w:val="00BD09C4"/>
    <w:rsid w:val="00BD0ABF"/>
    <w:rsid w:val="00BD0F60"/>
    <w:rsid w:val="00BD1A3B"/>
    <w:rsid w:val="00BD22B2"/>
    <w:rsid w:val="00BD3B89"/>
    <w:rsid w:val="00BD54C9"/>
    <w:rsid w:val="00BD63B6"/>
    <w:rsid w:val="00BD6443"/>
    <w:rsid w:val="00BD7581"/>
    <w:rsid w:val="00BD7AEF"/>
    <w:rsid w:val="00BE02B2"/>
    <w:rsid w:val="00BE0BE6"/>
    <w:rsid w:val="00BE1536"/>
    <w:rsid w:val="00BE1881"/>
    <w:rsid w:val="00BE236A"/>
    <w:rsid w:val="00BE2800"/>
    <w:rsid w:val="00BE41E3"/>
    <w:rsid w:val="00BE42CE"/>
    <w:rsid w:val="00BE49FB"/>
    <w:rsid w:val="00BE4E7A"/>
    <w:rsid w:val="00BE5334"/>
    <w:rsid w:val="00BE55BC"/>
    <w:rsid w:val="00BE5D7A"/>
    <w:rsid w:val="00BE6389"/>
    <w:rsid w:val="00BE684C"/>
    <w:rsid w:val="00BE7FF4"/>
    <w:rsid w:val="00BF01B8"/>
    <w:rsid w:val="00BF02E1"/>
    <w:rsid w:val="00BF0301"/>
    <w:rsid w:val="00BF0752"/>
    <w:rsid w:val="00BF0BC8"/>
    <w:rsid w:val="00BF11E5"/>
    <w:rsid w:val="00BF315D"/>
    <w:rsid w:val="00BF4ABE"/>
    <w:rsid w:val="00BF518D"/>
    <w:rsid w:val="00BF5F32"/>
    <w:rsid w:val="00BF60B7"/>
    <w:rsid w:val="00BF66A7"/>
    <w:rsid w:val="00BF67DD"/>
    <w:rsid w:val="00BF6CC1"/>
    <w:rsid w:val="00BF75BB"/>
    <w:rsid w:val="00BF7E37"/>
    <w:rsid w:val="00C005A7"/>
    <w:rsid w:val="00C00B33"/>
    <w:rsid w:val="00C0126A"/>
    <w:rsid w:val="00C01643"/>
    <w:rsid w:val="00C01F02"/>
    <w:rsid w:val="00C0266D"/>
    <w:rsid w:val="00C043F9"/>
    <w:rsid w:val="00C05CCF"/>
    <w:rsid w:val="00C07387"/>
    <w:rsid w:val="00C07694"/>
    <w:rsid w:val="00C076A5"/>
    <w:rsid w:val="00C10587"/>
    <w:rsid w:val="00C10751"/>
    <w:rsid w:val="00C1279F"/>
    <w:rsid w:val="00C127E9"/>
    <w:rsid w:val="00C13A5B"/>
    <w:rsid w:val="00C15B24"/>
    <w:rsid w:val="00C1604A"/>
    <w:rsid w:val="00C160B5"/>
    <w:rsid w:val="00C1619C"/>
    <w:rsid w:val="00C16A7A"/>
    <w:rsid w:val="00C16ACC"/>
    <w:rsid w:val="00C16B29"/>
    <w:rsid w:val="00C173AA"/>
    <w:rsid w:val="00C17BB8"/>
    <w:rsid w:val="00C20322"/>
    <w:rsid w:val="00C208E0"/>
    <w:rsid w:val="00C22731"/>
    <w:rsid w:val="00C22AF1"/>
    <w:rsid w:val="00C22B78"/>
    <w:rsid w:val="00C23733"/>
    <w:rsid w:val="00C2396A"/>
    <w:rsid w:val="00C240D4"/>
    <w:rsid w:val="00C249C4"/>
    <w:rsid w:val="00C25D29"/>
    <w:rsid w:val="00C2614D"/>
    <w:rsid w:val="00C264DF"/>
    <w:rsid w:val="00C26560"/>
    <w:rsid w:val="00C3066C"/>
    <w:rsid w:val="00C306EC"/>
    <w:rsid w:val="00C3084E"/>
    <w:rsid w:val="00C313C1"/>
    <w:rsid w:val="00C322D2"/>
    <w:rsid w:val="00C345ED"/>
    <w:rsid w:val="00C345FB"/>
    <w:rsid w:val="00C353BE"/>
    <w:rsid w:val="00C35E80"/>
    <w:rsid w:val="00C3653B"/>
    <w:rsid w:val="00C36C16"/>
    <w:rsid w:val="00C37BA7"/>
    <w:rsid w:val="00C37ED8"/>
    <w:rsid w:val="00C402DC"/>
    <w:rsid w:val="00C40342"/>
    <w:rsid w:val="00C41A8F"/>
    <w:rsid w:val="00C41B3F"/>
    <w:rsid w:val="00C43443"/>
    <w:rsid w:val="00C4378C"/>
    <w:rsid w:val="00C44B68"/>
    <w:rsid w:val="00C458E3"/>
    <w:rsid w:val="00C4735E"/>
    <w:rsid w:val="00C4745E"/>
    <w:rsid w:val="00C47522"/>
    <w:rsid w:val="00C47D30"/>
    <w:rsid w:val="00C503EA"/>
    <w:rsid w:val="00C50B07"/>
    <w:rsid w:val="00C5140B"/>
    <w:rsid w:val="00C53340"/>
    <w:rsid w:val="00C53583"/>
    <w:rsid w:val="00C53620"/>
    <w:rsid w:val="00C553C5"/>
    <w:rsid w:val="00C55E24"/>
    <w:rsid w:val="00C5667C"/>
    <w:rsid w:val="00C56A1A"/>
    <w:rsid w:val="00C56A3B"/>
    <w:rsid w:val="00C57715"/>
    <w:rsid w:val="00C61B7E"/>
    <w:rsid w:val="00C61EE5"/>
    <w:rsid w:val="00C61F66"/>
    <w:rsid w:val="00C63155"/>
    <w:rsid w:val="00C640D7"/>
    <w:rsid w:val="00C64228"/>
    <w:rsid w:val="00C648A8"/>
    <w:rsid w:val="00C64D95"/>
    <w:rsid w:val="00C652A7"/>
    <w:rsid w:val="00C652C8"/>
    <w:rsid w:val="00C65D7E"/>
    <w:rsid w:val="00C66DB1"/>
    <w:rsid w:val="00C6793F"/>
    <w:rsid w:val="00C711D0"/>
    <w:rsid w:val="00C73AB2"/>
    <w:rsid w:val="00C76F3D"/>
    <w:rsid w:val="00C76FD2"/>
    <w:rsid w:val="00C80751"/>
    <w:rsid w:val="00C81A48"/>
    <w:rsid w:val="00C81E61"/>
    <w:rsid w:val="00C82BE2"/>
    <w:rsid w:val="00C83551"/>
    <w:rsid w:val="00C8392A"/>
    <w:rsid w:val="00C84368"/>
    <w:rsid w:val="00C85934"/>
    <w:rsid w:val="00C87702"/>
    <w:rsid w:val="00C92805"/>
    <w:rsid w:val="00C92C20"/>
    <w:rsid w:val="00C92CD9"/>
    <w:rsid w:val="00C9341C"/>
    <w:rsid w:val="00C935FC"/>
    <w:rsid w:val="00C93D7B"/>
    <w:rsid w:val="00C9590D"/>
    <w:rsid w:val="00C95E87"/>
    <w:rsid w:val="00C969B1"/>
    <w:rsid w:val="00CA0AB6"/>
    <w:rsid w:val="00CA0C91"/>
    <w:rsid w:val="00CA40D5"/>
    <w:rsid w:val="00CA4EC6"/>
    <w:rsid w:val="00CA5D95"/>
    <w:rsid w:val="00CA6435"/>
    <w:rsid w:val="00CA6BCD"/>
    <w:rsid w:val="00CA768B"/>
    <w:rsid w:val="00CA7800"/>
    <w:rsid w:val="00CB0C6A"/>
    <w:rsid w:val="00CB38A7"/>
    <w:rsid w:val="00CB51CB"/>
    <w:rsid w:val="00CB7264"/>
    <w:rsid w:val="00CB72FB"/>
    <w:rsid w:val="00CB7550"/>
    <w:rsid w:val="00CC05EC"/>
    <w:rsid w:val="00CC0A87"/>
    <w:rsid w:val="00CC28F1"/>
    <w:rsid w:val="00CC2E6F"/>
    <w:rsid w:val="00CC30F1"/>
    <w:rsid w:val="00CC6F39"/>
    <w:rsid w:val="00CC7631"/>
    <w:rsid w:val="00CC77CE"/>
    <w:rsid w:val="00CD0556"/>
    <w:rsid w:val="00CD141A"/>
    <w:rsid w:val="00CD1DC8"/>
    <w:rsid w:val="00CD3BD8"/>
    <w:rsid w:val="00CD3C99"/>
    <w:rsid w:val="00CD3DC8"/>
    <w:rsid w:val="00CD41A8"/>
    <w:rsid w:val="00CD42F0"/>
    <w:rsid w:val="00CD5BE4"/>
    <w:rsid w:val="00CD763C"/>
    <w:rsid w:val="00CE010F"/>
    <w:rsid w:val="00CE0819"/>
    <w:rsid w:val="00CE108E"/>
    <w:rsid w:val="00CE133A"/>
    <w:rsid w:val="00CE17D0"/>
    <w:rsid w:val="00CE1D79"/>
    <w:rsid w:val="00CE2882"/>
    <w:rsid w:val="00CE2D17"/>
    <w:rsid w:val="00CE3F42"/>
    <w:rsid w:val="00CE4CA8"/>
    <w:rsid w:val="00CE540A"/>
    <w:rsid w:val="00CE5ECB"/>
    <w:rsid w:val="00CF09EE"/>
    <w:rsid w:val="00CF1210"/>
    <w:rsid w:val="00CF1465"/>
    <w:rsid w:val="00CF1989"/>
    <w:rsid w:val="00CF1D7E"/>
    <w:rsid w:val="00CF23C7"/>
    <w:rsid w:val="00CF2B3E"/>
    <w:rsid w:val="00CF2FFE"/>
    <w:rsid w:val="00CF3059"/>
    <w:rsid w:val="00CF3198"/>
    <w:rsid w:val="00CF3C1E"/>
    <w:rsid w:val="00CF4417"/>
    <w:rsid w:val="00CF4C2C"/>
    <w:rsid w:val="00CF66AA"/>
    <w:rsid w:val="00CF7D11"/>
    <w:rsid w:val="00CF7EDD"/>
    <w:rsid w:val="00D001D6"/>
    <w:rsid w:val="00D00E91"/>
    <w:rsid w:val="00D02297"/>
    <w:rsid w:val="00D02D25"/>
    <w:rsid w:val="00D037B7"/>
    <w:rsid w:val="00D04214"/>
    <w:rsid w:val="00D05FBD"/>
    <w:rsid w:val="00D104A7"/>
    <w:rsid w:val="00D121AF"/>
    <w:rsid w:val="00D12D67"/>
    <w:rsid w:val="00D13264"/>
    <w:rsid w:val="00D13A15"/>
    <w:rsid w:val="00D149C0"/>
    <w:rsid w:val="00D201F2"/>
    <w:rsid w:val="00D202FA"/>
    <w:rsid w:val="00D208FD"/>
    <w:rsid w:val="00D20F7F"/>
    <w:rsid w:val="00D223F2"/>
    <w:rsid w:val="00D23800"/>
    <w:rsid w:val="00D239B3"/>
    <w:rsid w:val="00D24929"/>
    <w:rsid w:val="00D25533"/>
    <w:rsid w:val="00D3006F"/>
    <w:rsid w:val="00D302B9"/>
    <w:rsid w:val="00D32B1C"/>
    <w:rsid w:val="00D32BD3"/>
    <w:rsid w:val="00D336F9"/>
    <w:rsid w:val="00D338C2"/>
    <w:rsid w:val="00D34684"/>
    <w:rsid w:val="00D346C8"/>
    <w:rsid w:val="00D3531A"/>
    <w:rsid w:val="00D356E9"/>
    <w:rsid w:val="00D36829"/>
    <w:rsid w:val="00D369B2"/>
    <w:rsid w:val="00D3737A"/>
    <w:rsid w:val="00D37504"/>
    <w:rsid w:val="00D40942"/>
    <w:rsid w:val="00D4140A"/>
    <w:rsid w:val="00D42A79"/>
    <w:rsid w:val="00D44B02"/>
    <w:rsid w:val="00D44CAE"/>
    <w:rsid w:val="00D456DE"/>
    <w:rsid w:val="00D459B7"/>
    <w:rsid w:val="00D45E2E"/>
    <w:rsid w:val="00D45E31"/>
    <w:rsid w:val="00D4729E"/>
    <w:rsid w:val="00D47308"/>
    <w:rsid w:val="00D505E7"/>
    <w:rsid w:val="00D507BC"/>
    <w:rsid w:val="00D511D1"/>
    <w:rsid w:val="00D51CF2"/>
    <w:rsid w:val="00D524C5"/>
    <w:rsid w:val="00D52EB2"/>
    <w:rsid w:val="00D52FDC"/>
    <w:rsid w:val="00D53363"/>
    <w:rsid w:val="00D53668"/>
    <w:rsid w:val="00D54006"/>
    <w:rsid w:val="00D55FC4"/>
    <w:rsid w:val="00D60643"/>
    <w:rsid w:val="00D6099B"/>
    <w:rsid w:val="00D60B9E"/>
    <w:rsid w:val="00D621B0"/>
    <w:rsid w:val="00D62285"/>
    <w:rsid w:val="00D6263E"/>
    <w:rsid w:val="00D6350E"/>
    <w:rsid w:val="00D63C36"/>
    <w:rsid w:val="00D64E90"/>
    <w:rsid w:val="00D65333"/>
    <w:rsid w:val="00D65CF2"/>
    <w:rsid w:val="00D6646B"/>
    <w:rsid w:val="00D6662B"/>
    <w:rsid w:val="00D670B9"/>
    <w:rsid w:val="00D67D17"/>
    <w:rsid w:val="00D701E3"/>
    <w:rsid w:val="00D70237"/>
    <w:rsid w:val="00D73387"/>
    <w:rsid w:val="00D7471E"/>
    <w:rsid w:val="00D75A23"/>
    <w:rsid w:val="00D760B4"/>
    <w:rsid w:val="00D76932"/>
    <w:rsid w:val="00D769EE"/>
    <w:rsid w:val="00D76DD2"/>
    <w:rsid w:val="00D77AB8"/>
    <w:rsid w:val="00D77D60"/>
    <w:rsid w:val="00D77F9E"/>
    <w:rsid w:val="00D80A4D"/>
    <w:rsid w:val="00D80D46"/>
    <w:rsid w:val="00D829F6"/>
    <w:rsid w:val="00D82B8E"/>
    <w:rsid w:val="00D8510A"/>
    <w:rsid w:val="00D8544C"/>
    <w:rsid w:val="00D86AFD"/>
    <w:rsid w:val="00D86E3F"/>
    <w:rsid w:val="00D87BC8"/>
    <w:rsid w:val="00D901D7"/>
    <w:rsid w:val="00D90D78"/>
    <w:rsid w:val="00D91404"/>
    <w:rsid w:val="00D92C96"/>
    <w:rsid w:val="00D937EE"/>
    <w:rsid w:val="00D941D7"/>
    <w:rsid w:val="00D9478F"/>
    <w:rsid w:val="00D9682A"/>
    <w:rsid w:val="00D9717C"/>
    <w:rsid w:val="00D9762E"/>
    <w:rsid w:val="00D97CE5"/>
    <w:rsid w:val="00D97DA0"/>
    <w:rsid w:val="00D97F0E"/>
    <w:rsid w:val="00DA0416"/>
    <w:rsid w:val="00DA197A"/>
    <w:rsid w:val="00DA1E34"/>
    <w:rsid w:val="00DA37B6"/>
    <w:rsid w:val="00DA58FB"/>
    <w:rsid w:val="00DA612D"/>
    <w:rsid w:val="00DA6A4F"/>
    <w:rsid w:val="00DA6D04"/>
    <w:rsid w:val="00DA70D4"/>
    <w:rsid w:val="00DB0A28"/>
    <w:rsid w:val="00DB0DA8"/>
    <w:rsid w:val="00DB1536"/>
    <w:rsid w:val="00DB17FB"/>
    <w:rsid w:val="00DB1907"/>
    <w:rsid w:val="00DB1EE7"/>
    <w:rsid w:val="00DB22D5"/>
    <w:rsid w:val="00DB249D"/>
    <w:rsid w:val="00DB36DB"/>
    <w:rsid w:val="00DB3772"/>
    <w:rsid w:val="00DB3888"/>
    <w:rsid w:val="00DB3A84"/>
    <w:rsid w:val="00DB5582"/>
    <w:rsid w:val="00DB61E3"/>
    <w:rsid w:val="00DB78D2"/>
    <w:rsid w:val="00DB7F5B"/>
    <w:rsid w:val="00DC03B7"/>
    <w:rsid w:val="00DC0511"/>
    <w:rsid w:val="00DC1596"/>
    <w:rsid w:val="00DC1BA3"/>
    <w:rsid w:val="00DC218F"/>
    <w:rsid w:val="00DC2383"/>
    <w:rsid w:val="00DC2CA0"/>
    <w:rsid w:val="00DC2D8E"/>
    <w:rsid w:val="00DC2F15"/>
    <w:rsid w:val="00DC3285"/>
    <w:rsid w:val="00DC3896"/>
    <w:rsid w:val="00DC3A7F"/>
    <w:rsid w:val="00DC3B3B"/>
    <w:rsid w:val="00DC4523"/>
    <w:rsid w:val="00DC75B1"/>
    <w:rsid w:val="00DD0BEC"/>
    <w:rsid w:val="00DD0D95"/>
    <w:rsid w:val="00DD122E"/>
    <w:rsid w:val="00DD1DA1"/>
    <w:rsid w:val="00DD33E3"/>
    <w:rsid w:val="00DD394F"/>
    <w:rsid w:val="00DD4A5E"/>
    <w:rsid w:val="00DD4FC0"/>
    <w:rsid w:val="00DD51A7"/>
    <w:rsid w:val="00DD58DD"/>
    <w:rsid w:val="00DD63E0"/>
    <w:rsid w:val="00DD6EF8"/>
    <w:rsid w:val="00DD7FBC"/>
    <w:rsid w:val="00DE024F"/>
    <w:rsid w:val="00DE0D95"/>
    <w:rsid w:val="00DE2103"/>
    <w:rsid w:val="00DE219B"/>
    <w:rsid w:val="00DE32C5"/>
    <w:rsid w:val="00DE4633"/>
    <w:rsid w:val="00DE5D69"/>
    <w:rsid w:val="00DE6A72"/>
    <w:rsid w:val="00DF1838"/>
    <w:rsid w:val="00DF1DD2"/>
    <w:rsid w:val="00DF2489"/>
    <w:rsid w:val="00DF2BD9"/>
    <w:rsid w:val="00DF2F74"/>
    <w:rsid w:val="00DF3B09"/>
    <w:rsid w:val="00DF5234"/>
    <w:rsid w:val="00DF71B6"/>
    <w:rsid w:val="00E00507"/>
    <w:rsid w:val="00E00757"/>
    <w:rsid w:val="00E00F35"/>
    <w:rsid w:val="00E028A8"/>
    <w:rsid w:val="00E03F39"/>
    <w:rsid w:val="00E062CA"/>
    <w:rsid w:val="00E0796F"/>
    <w:rsid w:val="00E1269F"/>
    <w:rsid w:val="00E12D92"/>
    <w:rsid w:val="00E1349D"/>
    <w:rsid w:val="00E13D0E"/>
    <w:rsid w:val="00E13DC0"/>
    <w:rsid w:val="00E172C1"/>
    <w:rsid w:val="00E209FD"/>
    <w:rsid w:val="00E20B12"/>
    <w:rsid w:val="00E20DED"/>
    <w:rsid w:val="00E20FD9"/>
    <w:rsid w:val="00E217FB"/>
    <w:rsid w:val="00E21D5E"/>
    <w:rsid w:val="00E21FCE"/>
    <w:rsid w:val="00E23038"/>
    <w:rsid w:val="00E248A1"/>
    <w:rsid w:val="00E25000"/>
    <w:rsid w:val="00E263AE"/>
    <w:rsid w:val="00E2663F"/>
    <w:rsid w:val="00E30D54"/>
    <w:rsid w:val="00E310B1"/>
    <w:rsid w:val="00E31408"/>
    <w:rsid w:val="00E318FE"/>
    <w:rsid w:val="00E32236"/>
    <w:rsid w:val="00E3254D"/>
    <w:rsid w:val="00E3264D"/>
    <w:rsid w:val="00E3399B"/>
    <w:rsid w:val="00E34868"/>
    <w:rsid w:val="00E34A2B"/>
    <w:rsid w:val="00E352A4"/>
    <w:rsid w:val="00E35639"/>
    <w:rsid w:val="00E35D8F"/>
    <w:rsid w:val="00E35F9F"/>
    <w:rsid w:val="00E363EF"/>
    <w:rsid w:val="00E370CF"/>
    <w:rsid w:val="00E3762E"/>
    <w:rsid w:val="00E37F9A"/>
    <w:rsid w:val="00E4364D"/>
    <w:rsid w:val="00E43868"/>
    <w:rsid w:val="00E4388D"/>
    <w:rsid w:val="00E439D3"/>
    <w:rsid w:val="00E43CB3"/>
    <w:rsid w:val="00E43ED9"/>
    <w:rsid w:val="00E45919"/>
    <w:rsid w:val="00E45CFA"/>
    <w:rsid w:val="00E4798A"/>
    <w:rsid w:val="00E479CF"/>
    <w:rsid w:val="00E51BB8"/>
    <w:rsid w:val="00E51E47"/>
    <w:rsid w:val="00E528C9"/>
    <w:rsid w:val="00E52B63"/>
    <w:rsid w:val="00E547D9"/>
    <w:rsid w:val="00E55BFE"/>
    <w:rsid w:val="00E56E6C"/>
    <w:rsid w:val="00E56F93"/>
    <w:rsid w:val="00E579D1"/>
    <w:rsid w:val="00E60A1E"/>
    <w:rsid w:val="00E60CAF"/>
    <w:rsid w:val="00E616D9"/>
    <w:rsid w:val="00E61CC0"/>
    <w:rsid w:val="00E64D7A"/>
    <w:rsid w:val="00E66378"/>
    <w:rsid w:val="00E66A36"/>
    <w:rsid w:val="00E7155A"/>
    <w:rsid w:val="00E73102"/>
    <w:rsid w:val="00E73F32"/>
    <w:rsid w:val="00E73F4F"/>
    <w:rsid w:val="00E746E9"/>
    <w:rsid w:val="00E752C3"/>
    <w:rsid w:val="00E76AE4"/>
    <w:rsid w:val="00E7722C"/>
    <w:rsid w:val="00E777E7"/>
    <w:rsid w:val="00E7787B"/>
    <w:rsid w:val="00E805CB"/>
    <w:rsid w:val="00E808D5"/>
    <w:rsid w:val="00E811B4"/>
    <w:rsid w:val="00E8217C"/>
    <w:rsid w:val="00E82244"/>
    <w:rsid w:val="00E82718"/>
    <w:rsid w:val="00E83147"/>
    <w:rsid w:val="00E83B82"/>
    <w:rsid w:val="00E85261"/>
    <w:rsid w:val="00E85876"/>
    <w:rsid w:val="00E85DA7"/>
    <w:rsid w:val="00E860CF"/>
    <w:rsid w:val="00E86D60"/>
    <w:rsid w:val="00E90CEC"/>
    <w:rsid w:val="00E90F17"/>
    <w:rsid w:val="00E922C9"/>
    <w:rsid w:val="00E92DCC"/>
    <w:rsid w:val="00E93C2B"/>
    <w:rsid w:val="00E93E31"/>
    <w:rsid w:val="00E952AC"/>
    <w:rsid w:val="00E95F37"/>
    <w:rsid w:val="00E96020"/>
    <w:rsid w:val="00E9704F"/>
    <w:rsid w:val="00E976AD"/>
    <w:rsid w:val="00EA0397"/>
    <w:rsid w:val="00EA0960"/>
    <w:rsid w:val="00EA14BF"/>
    <w:rsid w:val="00EA20FD"/>
    <w:rsid w:val="00EA4264"/>
    <w:rsid w:val="00EA6672"/>
    <w:rsid w:val="00EA7342"/>
    <w:rsid w:val="00EB134B"/>
    <w:rsid w:val="00EB14F0"/>
    <w:rsid w:val="00EB2711"/>
    <w:rsid w:val="00EB3BF6"/>
    <w:rsid w:val="00EB40B0"/>
    <w:rsid w:val="00EB41B7"/>
    <w:rsid w:val="00EB610A"/>
    <w:rsid w:val="00EC0A86"/>
    <w:rsid w:val="00EC0AD1"/>
    <w:rsid w:val="00EC287C"/>
    <w:rsid w:val="00EC36C4"/>
    <w:rsid w:val="00EC4455"/>
    <w:rsid w:val="00EC5731"/>
    <w:rsid w:val="00EC664B"/>
    <w:rsid w:val="00EC710A"/>
    <w:rsid w:val="00ED10DC"/>
    <w:rsid w:val="00ED1170"/>
    <w:rsid w:val="00ED181D"/>
    <w:rsid w:val="00ED1D9A"/>
    <w:rsid w:val="00ED3F8B"/>
    <w:rsid w:val="00ED648D"/>
    <w:rsid w:val="00ED6632"/>
    <w:rsid w:val="00ED7029"/>
    <w:rsid w:val="00ED793E"/>
    <w:rsid w:val="00ED7FAC"/>
    <w:rsid w:val="00EE093A"/>
    <w:rsid w:val="00EE24F4"/>
    <w:rsid w:val="00EE5401"/>
    <w:rsid w:val="00EE7C7C"/>
    <w:rsid w:val="00EF0191"/>
    <w:rsid w:val="00EF0AED"/>
    <w:rsid w:val="00EF1907"/>
    <w:rsid w:val="00EF19E0"/>
    <w:rsid w:val="00EF24B3"/>
    <w:rsid w:val="00EF258F"/>
    <w:rsid w:val="00EF359E"/>
    <w:rsid w:val="00EF382F"/>
    <w:rsid w:val="00EF4FF8"/>
    <w:rsid w:val="00EF79AA"/>
    <w:rsid w:val="00EF7CA7"/>
    <w:rsid w:val="00F000FF"/>
    <w:rsid w:val="00F00F6E"/>
    <w:rsid w:val="00F01510"/>
    <w:rsid w:val="00F01531"/>
    <w:rsid w:val="00F0302B"/>
    <w:rsid w:val="00F03F8B"/>
    <w:rsid w:val="00F05D18"/>
    <w:rsid w:val="00F0647A"/>
    <w:rsid w:val="00F07E5E"/>
    <w:rsid w:val="00F11203"/>
    <w:rsid w:val="00F11317"/>
    <w:rsid w:val="00F114B2"/>
    <w:rsid w:val="00F12EC8"/>
    <w:rsid w:val="00F13BF3"/>
    <w:rsid w:val="00F14151"/>
    <w:rsid w:val="00F16D75"/>
    <w:rsid w:val="00F17AF1"/>
    <w:rsid w:val="00F20CEE"/>
    <w:rsid w:val="00F21982"/>
    <w:rsid w:val="00F21A1C"/>
    <w:rsid w:val="00F21D32"/>
    <w:rsid w:val="00F222EF"/>
    <w:rsid w:val="00F226CD"/>
    <w:rsid w:val="00F23DE4"/>
    <w:rsid w:val="00F253E9"/>
    <w:rsid w:val="00F25740"/>
    <w:rsid w:val="00F2591D"/>
    <w:rsid w:val="00F25F60"/>
    <w:rsid w:val="00F260F1"/>
    <w:rsid w:val="00F26856"/>
    <w:rsid w:val="00F26B50"/>
    <w:rsid w:val="00F31653"/>
    <w:rsid w:val="00F31768"/>
    <w:rsid w:val="00F319D3"/>
    <w:rsid w:val="00F31C57"/>
    <w:rsid w:val="00F32103"/>
    <w:rsid w:val="00F33600"/>
    <w:rsid w:val="00F33628"/>
    <w:rsid w:val="00F33681"/>
    <w:rsid w:val="00F33958"/>
    <w:rsid w:val="00F33C61"/>
    <w:rsid w:val="00F34676"/>
    <w:rsid w:val="00F35481"/>
    <w:rsid w:val="00F35CD9"/>
    <w:rsid w:val="00F37ADA"/>
    <w:rsid w:val="00F40459"/>
    <w:rsid w:val="00F40654"/>
    <w:rsid w:val="00F40C6D"/>
    <w:rsid w:val="00F41391"/>
    <w:rsid w:val="00F42FBA"/>
    <w:rsid w:val="00F433FC"/>
    <w:rsid w:val="00F44321"/>
    <w:rsid w:val="00F44986"/>
    <w:rsid w:val="00F450C8"/>
    <w:rsid w:val="00F45DD9"/>
    <w:rsid w:val="00F46A68"/>
    <w:rsid w:val="00F46C31"/>
    <w:rsid w:val="00F46C89"/>
    <w:rsid w:val="00F476AF"/>
    <w:rsid w:val="00F5035E"/>
    <w:rsid w:val="00F50B77"/>
    <w:rsid w:val="00F50CBD"/>
    <w:rsid w:val="00F51B9F"/>
    <w:rsid w:val="00F51D06"/>
    <w:rsid w:val="00F5283A"/>
    <w:rsid w:val="00F53257"/>
    <w:rsid w:val="00F5374F"/>
    <w:rsid w:val="00F54268"/>
    <w:rsid w:val="00F54BFC"/>
    <w:rsid w:val="00F55FA2"/>
    <w:rsid w:val="00F5758C"/>
    <w:rsid w:val="00F57ED2"/>
    <w:rsid w:val="00F60214"/>
    <w:rsid w:val="00F619E2"/>
    <w:rsid w:val="00F61D12"/>
    <w:rsid w:val="00F659C4"/>
    <w:rsid w:val="00F661D7"/>
    <w:rsid w:val="00F66790"/>
    <w:rsid w:val="00F66A42"/>
    <w:rsid w:val="00F672B8"/>
    <w:rsid w:val="00F6790B"/>
    <w:rsid w:val="00F67B10"/>
    <w:rsid w:val="00F704C5"/>
    <w:rsid w:val="00F71441"/>
    <w:rsid w:val="00F72A6B"/>
    <w:rsid w:val="00F73206"/>
    <w:rsid w:val="00F74945"/>
    <w:rsid w:val="00F74D6A"/>
    <w:rsid w:val="00F76985"/>
    <w:rsid w:val="00F76BEF"/>
    <w:rsid w:val="00F76CFC"/>
    <w:rsid w:val="00F770D8"/>
    <w:rsid w:val="00F77CC8"/>
    <w:rsid w:val="00F77EDD"/>
    <w:rsid w:val="00F81191"/>
    <w:rsid w:val="00F8131C"/>
    <w:rsid w:val="00F82129"/>
    <w:rsid w:val="00F834F9"/>
    <w:rsid w:val="00F8356B"/>
    <w:rsid w:val="00F85D8D"/>
    <w:rsid w:val="00F8622F"/>
    <w:rsid w:val="00F869D7"/>
    <w:rsid w:val="00F8784D"/>
    <w:rsid w:val="00F878F8"/>
    <w:rsid w:val="00F87A11"/>
    <w:rsid w:val="00F87C33"/>
    <w:rsid w:val="00F90B6F"/>
    <w:rsid w:val="00F90E8B"/>
    <w:rsid w:val="00F91FA0"/>
    <w:rsid w:val="00F92E14"/>
    <w:rsid w:val="00F93F8F"/>
    <w:rsid w:val="00F948DB"/>
    <w:rsid w:val="00F94F00"/>
    <w:rsid w:val="00F94FA5"/>
    <w:rsid w:val="00F95661"/>
    <w:rsid w:val="00F958CA"/>
    <w:rsid w:val="00F9607E"/>
    <w:rsid w:val="00F9614C"/>
    <w:rsid w:val="00FA028D"/>
    <w:rsid w:val="00FA0D71"/>
    <w:rsid w:val="00FA16D1"/>
    <w:rsid w:val="00FA2AB0"/>
    <w:rsid w:val="00FA43A8"/>
    <w:rsid w:val="00FA508E"/>
    <w:rsid w:val="00FA676F"/>
    <w:rsid w:val="00FA698F"/>
    <w:rsid w:val="00FA7B58"/>
    <w:rsid w:val="00FB2006"/>
    <w:rsid w:val="00FB3758"/>
    <w:rsid w:val="00FB3A5B"/>
    <w:rsid w:val="00FB3FAB"/>
    <w:rsid w:val="00FB506D"/>
    <w:rsid w:val="00FB5471"/>
    <w:rsid w:val="00FB54B2"/>
    <w:rsid w:val="00FB6827"/>
    <w:rsid w:val="00FC0D37"/>
    <w:rsid w:val="00FC1B71"/>
    <w:rsid w:val="00FC25E3"/>
    <w:rsid w:val="00FC3691"/>
    <w:rsid w:val="00FC4650"/>
    <w:rsid w:val="00FC56C5"/>
    <w:rsid w:val="00FC65C3"/>
    <w:rsid w:val="00FC68A2"/>
    <w:rsid w:val="00FD1330"/>
    <w:rsid w:val="00FD1D1A"/>
    <w:rsid w:val="00FD2594"/>
    <w:rsid w:val="00FD2749"/>
    <w:rsid w:val="00FD2CFE"/>
    <w:rsid w:val="00FD3523"/>
    <w:rsid w:val="00FD3A86"/>
    <w:rsid w:val="00FD4411"/>
    <w:rsid w:val="00FD4C39"/>
    <w:rsid w:val="00FD4FF8"/>
    <w:rsid w:val="00FD51AF"/>
    <w:rsid w:val="00FD5BE8"/>
    <w:rsid w:val="00FD5FE4"/>
    <w:rsid w:val="00FD62E3"/>
    <w:rsid w:val="00FD6505"/>
    <w:rsid w:val="00FD7535"/>
    <w:rsid w:val="00FE040D"/>
    <w:rsid w:val="00FE0E55"/>
    <w:rsid w:val="00FE1DDD"/>
    <w:rsid w:val="00FE1E92"/>
    <w:rsid w:val="00FE1F47"/>
    <w:rsid w:val="00FE2CE7"/>
    <w:rsid w:val="00FE3385"/>
    <w:rsid w:val="00FE34EB"/>
    <w:rsid w:val="00FE4076"/>
    <w:rsid w:val="00FE44A6"/>
    <w:rsid w:val="00FE541E"/>
    <w:rsid w:val="00FE5C23"/>
    <w:rsid w:val="00FE697F"/>
    <w:rsid w:val="00FE7CBD"/>
    <w:rsid w:val="00FF0798"/>
    <w:rsid w:val="00FF11DC"/>
    <w:rsid w:val="00FF31C4"/>
    <w:rsid w:val="00FF3761"/>
    <w:rsid w:val="00FF5568"/>
    <w:rsid w:val="00FF58B3"/>
    <w:rsid w:val="00FF6506"/>
    <w:rsid w:val="00FF67E1"/>
    <w:rsid w:val="00FF6DFC"/>
    <w:rsid w:val="00FF7164"/>
    <w:rsid w:val="011B17EC"/>
    <w:rsid w:val="01C007DC"/>
    <w:rsid w:val="01FD577A"/>
    <w:rsid w:val="020C45D9"/>
    <w:rsid w:val="03C52BEB"/>
    <w:rsid w:val="03E312C3"/>
    <w:rsid w:val="03EB2154"/>
    <w:rsid w:val="04251393"/>
    <w:rsid w:val="0438160E"/>
    <w:rsid w:val="044A0592"/>
    <w:rsid w:val="04781D93"/>
    <w:rsid w:val="04EA2793"/>
    <w:rsid w:val="05511F71"/>
    <w:rsid w:val="06DF62EF"/>
    <w:rsid w:val="08300764"/>
    <w:rsid w:val="09226C99"/>
    <w:rsid w:val="09BF5E8A"/>
    <w:rsid w:val="0C1B5F55"/>
    <w:rsid w:val="0F5F32CD"/>
    <w:rsid w:val="115F45E5"/>
    <w:rsid w:val="124F46B5"/>
    <w:rsid w:val="14554EBE"/>
    <w:rsid w:val="14610A21"/>
    <w:rsid w:val="14742579"/>
    <w:rsid w:val="14A52295"/>
    <w:rsid w:val="14BA7E1E"/>
    <w:rsid w:val="15580178"/>
    <w:rsid w:val="15B128BB"/>
    <w:rsid w:val="166D550F"/>
    <w:rsid w:val="169A7865"/>
    <w:rsid w:val="16DF58B5"/>
    <w:rsid w:val="18155A97"/>
    <w:rsid w:val="181D4248"/>
    <w:rsid w:val="192C753C"/>
    <w:rsid w:val="1ACD69FA"/>
    <w:rsid w:val="1B5546F4"/>
    <w:rsid w:val="1BF05ECE"/>
    <w:rsid w:val="1C274A5F"/>
    <w:rsid w:val="1D474A51"/>
    <w:rsid w:val="1DAC2AE7"/>
    <w:rsid w:val="1E203BAC"/>
    <w:rsid w:val="1E357664"/>
    <w:rsid w:val="1E6C2189"/>
    <w:rsid w:val="1EDB10BC"/>
    <w:rsid w:val="1F1F2890"/>
    <w:rsid w:val="2134305D"/>
    <w:rsid w:val="221D7F89"/>
    <w:rsid w:val="22284619"/>
    <w:rsid w:val="228D6554"/>
    <w:rsid w:val="22965D0A"/>
    <w:rsid w:val="229C7C30"/>
    <w:rsid w:val="240E6EFC"/>
    <w:rsid w:val="24D53AB7"/>
    <w:rsid w:val="261C5BF2"/>
    <w:rsid w:val="272A6282"/>
    <w:rsid w:val="282E6327"/>
    <w:rsid w:val="28B87B96"/>
    <w:rsid w:val="291026A3"/>
    <w:rsid w:val="29C1565C"/>
    <w:rsid w:val="29EE414E"/>
    <w:rsid w:val="29F30717"/>
    <w:rsid w:val="2A4E5E14"/>
    <w:rsid w:val="2AD57308"/>
    <w:rsid w:val="2AEE09FB"/>
    <w:rsid w:val="2B137AB6"/>
    <w:rsid w:val="2B222B51"/>
    <w:rsid w:val="2BCF27C7"/>
    <w:rsid w:val="2C12548E"/>
    <w:rsid w:val="2C4730FA"/>
    <w:rsid w:val="2CD65527"/>
    <w:rsid w:val="2CF11C31"/>
    <w:rsid w:val="2D063FF0"/>
    <w:rsid w:val="2D514A43"/>
    <w:rsid w:val="2D5C1FF2"/>
    <w:rsid w:val="2DE13364"/>
    <w:rsid w:val="2E992950"/>
    <w:rsid w:val="2F6B1D15"/>
    <w:rsid w:val="2F885B07"/>
    <w:rsid w:val="2FC05634"/>
    <w:rsid w:val="300C2F3A"/>
    <w:rsid w:val="30C761C5"/>
    <w:rsid w:val="30E75847"/>
    <w:rsid w:val="31D543E8"/>
    <w:rsid w:val="31E643F6"/>
    <w:rsid w:val="333F2B98"/>
    <w:rsid w:val="33474AB7"/>
    <w:rsid w:val="3451366B"/>
    <w:rsid w:val="34607B76"/>
    <w:rsid w:val="35287D18"/>
    <w:rsid w:val="366156C8"/>
    <w:rsid w:val="36CF60DA"/>
    <w:rsid w:val="37CF400B"/>
    <w:rsid w:val="39002D14"/>
    <w:rsid w:val="390F32C9"/>
    <w:rsid w:val="392A081F"/>
    <w:rsid w:val="399C3D5D"/>
    <w:rsid w:val="39AC4144"/>
    <w:rsid w:val="3B0F18DE"/>
    <w:rsid w:val="3BCC331D"/>
    <w:rsid w:val="3BF42DD5"/>
    <w:rsid w:val="3C112069"/>
    <w:rsid w:val="3CC02537"/>
    <w:rsid w:val="3DC0610D"/>
    <w:rsid w:val="3F700B61"/>
    <w:rsid w:val="3FB221E3"/>
    <w:rsid w:val="4070746C"/>
    <w:rsid w:val="41D2231B"/>
    <w:rsid w:val="42657FA2"/>
    <w:rsid w:val="42BC4BDD"/>
    <w:rsid w:val="42F838D8"/>
    <w:rsid w:val="43AA7B62"/>
    <w:rsid w:val="44B94C14"/>
    <w:rsid w:val="45CB38E2"/>
    <w:rsid w:val="4697664F"/>
    <w:rsid w:val="46A05B8A"/>
    <w:rsid w:val="48561C3D"/>
    <w:rsid w:val="485D39BB"/>
    <w:rsid w:val="4AA81E62"/>
    <w:rsid w:val="4B7127F7"/>
    <w:rsid w:val="4B8D3E00"/>
    <w:rsid w:val="4B992CE6"/>
    <w:rsid w:val="4BFE05F6"/>
    <w:rsid w:val="4DFF7DA5"/>
    <w:rsid w:val="4F221311"/>
    <w:rsid w:val="4F9A3422"/>
    <w:rsid w:val="4FB20406"/>
    <w:rsid w:val="5084566E"/>
    <w:rsid w:val="51FF2131"/>
    <w:rsid w:val="53E742EA"/>
    <w:rsid w:val="54344E90"/>
    <w:rsid w:val="54E35FFA"/>
    <w:rsid w:val="55443D4E"/>
    <w:rsid w:val="55A67AAC"/>
    <w:rsid w:val="56074091"/>
    <w:rsid w:val="56F544F1"/>
    <w:rsid w:val="57727B09"/>
    <w:rsid w:val="585D001B"/>
    <w:rsid w:val="58FF717A"/>
    <w:rsid w:val="5B6006E5"/>
    <w:rsid w:val="5C774FBD"/>
    <w:rsid w:val="5CA002A2"/>
    <w:rsid w:val="5DAF3341"/>
    <w:rsid w:val="5EB95CE1"/>
    <w:rsid w:val="5F587326"/>
    <w:rsid w:val="608A7C71"/>
    <w:rsid w:val="609C149B"/>
    <w:rsid w:val="61454442"/>
    <w:rsid w:val="61DE09D5"/>
    <w:rsid w:val="624763E7"/>
    <w:rsid w:val="63E43EDB"/>
    <w:rsid w:val="643B78D5"/>
    <w:rsid w:val="65292F4C"/>
    <w:rsid w:val="657038D9"/>
    <w:rsid w:val="66BD4D5F"/>
    <w:rsid w:val="67042F50"/>
    <w:rsid w:val="67587CBB"/>
    <w:rsid w:val="6795221B"/>
    <w:rsid w:val="67C22C69"/>
    <w:rsid w:val="68023710"/>
    <w:rsid w:val="68633B35"/>
    <w:rsid w:val="68B050C5"/>
    <w:rsid w:val="68C54CA5"/>
    <w:rsid w:val="69967FBA"/>
    <w:rsid w:val="6B6E745A"/>
    <w:rsid w:val="6BFD5665"/>
    <w:rsid w:val="6D6A170E"/>
    <w:rsid w:val="6D786658"/>
    <w:rsid w:val="6DEE183F"/>
    <w:rsid w:val="6F485C50"/>
    <w:rsid w:val="6F615D47"/>
    <w:rsid w:val="6FF5083C"/>
    <w:rsid w:val="6FFA3AEA"/>
    <w:rsid w:val="705F4E88"/>
    <w:rsid w:val="71137E38"/>
    <w:rsid w:val="71184DC4"/>
    <w:rsid w:val="711A6DAD"/>
    <w:rsid w:val="724172C7"/>
    <w:rsid w:val="726815E5"/>
    <w:rsid w:val="72B1707D"/>
    <w:rsid w:val="72F86B03"/>
    <w:rsid w:val="733A1083"/>
    <w:rsid w:val="74894D29"/>
    <w:rsid w:val="75150722"/>
    <w:rsid w:val="76864364"/>
    <w:rsid w:val="77530761"/>
    <w:rsid w:val="77AD349A"/>
    <w:rsid w:val="78726FAB"/>
    <w:rsid w:val="7C0014D2"/>
    <w:rsid w:val="7C2823C0"/>
    <w:rsid w:val="7C4B79C4"/>
    <w:rsid w:val="7CB36EDB"/>
    <w:rsid w:val="7D9451FD"/>
    <w:rsid w:val="7DA72178"/>
    <w:rsid w:val="7DFF6DC3"/>
    <w:rsid w:val="7F661C25"/>
    <w:rsid w:val="7F914E39"/>
    <w:rsid w:val="B9FE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name="heading 4"/>
    <w:lsdException w:uiPriority="9" w:name="heading 5"/>
    <w:lsdException w:uiPriority="9" w:name="heading 6"/>
    <w:lsdException w:uiPriority="9" w:name="heading 7"/>
    <w:lsdException w:uiPriority="9" w:name="heading 8"/>
    <w:lsdException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paragraph" w:styleId="3">
    <w:name w:val="heading 1"/>
    <w:basedOn w:val="1"/>
    <w:next w:val="1"/>
    <w:link w:val="46"/>
    <w:qFormat/>
    <w:uiPriority w:val="0"/>
    <w:pPr>
      <w:spacing w:line="600" w:lineRule="exact"/>
      <w:ind w:firstLine="640" w:firstLineChars="200"/>
      <w:jc w:val="left"/>
      <w:outlineLvl w:val="0"/>
    </w:pPr>
    <w:rPr>
      <w:rFonts w:ascii="Times New Roman" w:hAnsi="Times New Roman" w:eastAsia="黑体"/>
      <w:kern w:val="2"/>
      <w:sz w:val="32"/>
      <w:szCs w:val="32"/>
    </w:rPr>
  </w:style>
  <w:style w:type="paragraph" w:styleId="4">
    <w:name w:val="heading 2"/>
    <w:basedOn w:val="1"/>
    <w:next w:val="1"/>
    <w:link w:val="47"/>
    <w:qFormat/>
    <w:uiPriority w:val="0"/>
    <w:pPr>
      <w:adjustRightInd w:val="0"/>
      <w:spacing w:line="600" w:lineRule="exact"/>
      <w:ind w:firstLine="640" w:firstLineChars="200"/>
      <w:outlineLvl w:val="1"/>
    </w:pPr>
    <w:rPr>
      <w:rFonts w:ascii="Times New Roman" w:hAnsi="Times New Roman" w:eastAsia="楷体_GB2312"/>
      <w:kern w:val="2"/>
      <w:sz w:val="32"/>
      <w:szCs w:val="32"/>
      <w:shd w:val="clear" w:color="auto" w:fill="FFFFFF"/>
    </w:rPr>
  </w:style>
  <w:style w:type="paragraph" w:styleId="5">
    <w:name w:val="heading 3"/>
    <w:basedOn w:val="1"/>
    <w:next w:val="1"/>
    <w:link w:val="48"/>
    <w:qFormat/>
    <w:uiPriority w:val="0"/>
    <w:pPr>
      <w:tabs>
        <w:tab w:val="left" w:pos="3405"/>
      </w:tabs>
      <w:spacing w:line="600" w:lineRule="exact"/>
      <w:ind w:firstLine="643" w:firstLineChars="200"/>
      <w:outlineLvl w:val="2"/>
    </w:pPr>
    <w:rPr>
      <w:rFonts w:ascii="Times New Roman" w:hAnsi="Times New Roman" w:eastAsia="仿宋_GB2312"/>
      <w:b/>
      <w:kern w:val="2"/>
      <w:sz w:val="32"/>
      <w:szCs w:val="32"/>
      <w:shd w:val="clear" w:color="auto" w:fill="FFFFFF"/>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semiHidden/>
    <w:unhideWhenUsed/>
    <w:qFormat/>
    <w:uiPriority w:val="99"/>
    <w:pPr>
      <w:spacing w:after="120"/>
      <w:ind w:left="1440" w:leftChars="700" w:right="1440" w:rightChars="700"/>
    </w:pPr>
  </w:style>
  <w:style w:type="paragraph" w:styleId="6">
    <w:name w:val="toc 7"/>
    <w:basedOn w:val="1"/>
    <w:next w:val="1"/>
    <w:unhideWhenUsed/>
    <w:qFormat/>
    <w:uiPriority w:val="39"/>
    <w:pPr>
      <w:ind w:left="2520" w:leftChars="1200"/>
    </w:pPr>
    <w:rPr>
      <w:rFonts w:asciiTheme="minorHAnsi" w:hAnsiTheme="minorHAnsi" w:eastAsiaTheme="minorEastAsia" w:cstheme="minorBidi"/>
      <w:kern w:val="2"/>
      <w:sz w:val="21"/>
      <w:szCs w:val="22"/>
    </w:rPr>
  </w:style>
  <w:style w:type="paragraph" w:styleId="7">
    <w:name w:val="annotation text"/>
    <w:basedOn w:val="1"/>
    <w:link w:val="55"/>
    <w:unhideWhenUsed/>
    <w:qFormat/>
    <w:uiPriority w:val="99"/>
    <w:pPr>
      <w:jc w:val="left"/>
    </w:pPr>
  </w:style>
  <w:style w:type="paragraph" w:styleId="8">
    <w:name w:val="toc 5"/>
    <w:basedOn w:val="1"/>
    <w:next w:val="1"/>
    <w:unhideWhenUsed/>
    <w:qFormat/>
    <w:uiPriority w:val="39"/>
    <w:pPr>
      <w:ind w:left="1680" w:leftChars="800"/>
    </w:pPr>
    <w:rPr>
      <w:rFonts w:asciiTheme="minorHAnsi" w:hAnsiTheme="minorHAnsi" w:eastAsiaTheme="minorEastAsia" w:cstheme="minorBidi"/>
      <w:kern w:val="2"/>
      <w:sz w:val="21"/>
      <w:szCs w:val="22"/>
    </w:rPr>
  </w:style>
  <w:style w:type="paragraph" w:styleId="9">
    <w:name w:val="toc 3"/>
    <w:basedOn w:val="1"/>
    <w:next w:val="1"/>
    <w:unhideWhenUsed/>
    <w:qFormat/>
    <w:uiPriority w:val="39"/>
    <w:pPr>
      <w:spacing w:line="360" w:lineRule="auto"/>
      <w:ind w:left="400" w:leftChars="400"/>
    </w:pPr>
    <w:rPr>
      <w:rFonts w:ascii="Times New Roman" w:hAnsi="Times New Roman" w:eastAsia="楷体_GB2312"/>
      <w:sz w:val="28"/>
    </w:rPr>
  </w:style>
  <w:style w:type="paragraph" w:styleId="10">
    <w:name w:val="toc 8"/>
    <w:basedOn w:val="1"/>
    <w:next w:val="1"/>
    <w:unhideWhenUsed/>
    <w:qFormat/>
    <w:uiPriority w:val="39"/>
    <w:pPr>
      <w:ind w:left="2940" w:leftChars="1400"/>
    </w:pPr>
    <w:rPr>
      <w:rFonts w:asciiTheme="minorHAnsi" w:hAnsiTheme="minorHAnsi" w:eastAsiaTheme="minorEastAsia" w:cstheme="minorBidi"/>
      <w:kern w:val="2"/>
      <w:sz w:val="21"/>
      <w:szCs w:val="22"/>
    </w:rPr>
  </w:style>
  <w:style w:type="paragraph" w:styleId="11">
    <w:name w:val="Balloon Text"/>
    <w:basedOn w:val="1"/>
    <w:link w:val="54"/>
    <w:unhideWhenUsed/>
    <w:qFormat/>
    <w:uiPriority w:val="99"/>
    <w:rPr>
      <w:sz w:val="18"/>
      <w:szCs w:val="18"/>
    </w:rPr>
  </w:style>
  <w:style w:type="paragraph" w:styleId="12">
    <w:name w:val="footer"/>
    <w:basedOn w:val="1"/>
    <w:link w:val="51"/>
    <w:unhideWhenUsed/>
    <w:qFormat/>
    <w:uiPriority w:val="99"/>
    <w:pPr>
      <w:tabs>
        <w:tab w:val="center" w:pos="4153"/>
        <w:tab w:val="right" w:pos="8306"/>
      </w:tabs>
      <w:snapToGrid w:val="0"/>
      <w:jc w:val="left"/>
    </w:pPr>
    <w:rPr>
      <w:sz w:val="18"/>
      <w:szCs w:val="18"/>
    </w:rPr>
  </w:style>
  <w:style w:type="paragraph" w:styleId="1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ascii="Times New Roman" w:hAnsi="Times New Roman" w:eastAsia="黑体"/>
      <w:sz w:val="28"/>
    </w:rPr>
  </w:style>
  <w:style w:type="paragraph" w:styleId="15">
    <w:name w:val="toc 4"/>
    <w:basedOn w:val="1"/>
    <w:next w:val="1"/>
    <w:unhideWhenUsed/>
    <w:qFormat/>
    <w:uiPriority w:val="39"/>
    <w:pPr>
      <w:ind w:left="1260" w:leftChars="600"/>
    </w:pPr>
    <w:rPr>
      <w:rFonts w:asciiTheme="minorHAnsi" w:hAnsiTheme="minorHAnsi" w:eastAsiaTheme="minorEastAsia" w:cstheme="minorBidi"/>
      <w:kern w:val="2"/>
      <w:sz w:val="21"/>
      <w:szCs w:val="22"/>
    </w:rPr>
  </w:style>
  <w:style w:type="paragraph" w:styleId="16">
    <w:name w:val="footnote text"/>
    <w:basedOn w:val="1"/>
    <w:link w:val="52"/>
    <w:unhideWhenUsed/>
    <w:qFormat/>
    <w:uiPriority w:val="99"/>
    <w:pPr>
      <w:snapToGrid w:val="0"/>
      <w:jc w:val="left"/>
    </w:pPr>
    <w:rPr>
      <w:sz w:val="18"/>
      <w:szCs w:val="18"/>
    </w:rPr>
  </w:style>
  <w:style w:type="paragraph" w:styleId="17">
    <w:name w:val="toc 6"/>
    <w:basedOn w:val="1"/>
    <w:next w:val="1"/>
    <w:unhideWhenUsed/>
    <w:qFormat/>
    <w:uiPriority w:val="39"/>
    <w:pPr>
      <w:ind w:left="2100" w:leftChars="1000"/>
    </w:pPr>
    <w:rPr>
      <w:rFonts w:asciiTheme="minorHAnsi" w:hAnsiTheme="minorHAnsi" w:eastAsiaTheme="minorEastAsia" w:cstheme="minorBidi"/>
      <w:kern w:val="2"/>
      <w:sz w:val="21"/>
      <w:szCs w:val="22"/>
    </w:rPr>
  </w:style>
  <w:style w:type="paragraph" w:styleId="18">
    <w:name w:val="toc 2"/>
    <w:basedOn w:val="1"/>
    <w:next w:val="1"/>
    <w:unhideWhenUsed/>
    <w:qFormat/>
    <w:uiPriority w:val="39"/>
    <w:pPr>
      <w:spacing w:line="360" w:lineRule="auto"/>
      <w:ind w:left="200" w:leftChars="200"/>
    </w:pPr>
    <w:rPr>
      <w:rFonts w:ascii="Times New Roman" w:hAnsi="Times New Roman" w:eastAsia="楷体_GB2312"/>
      <w:sz w:val="28"/>
    </w:rPr>
  </w:style>
  <w:style w:type="paragraph" w:styleId="19">
    <w:name w:val="toc 9"/>
    <w:basedOn w:val="1"/>
    <w:next w:val="1"/>
    <w:unhideWhenUsed/>
    <w:qFormat/>
    <w:uiPriority w:val="39"/>
    <w:pPr>
      <w:ind w:left="3360" w:leftChars="1600"/>
    </w:pPr>
    <w:rPr>
      <w:rFonts w:asciiTheme="minorHAnsi" w:hAnsiTheme="minorHAnsi" w:eastAsiaTheme="minorEastAsia" w:cstheme="minorBidi"/>
      <w:kern w:val="2"/>
      <w:sz w:val="21"/>
      <w:szCs w:val="22"/>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cs="宋体"/>
      <w:sz w:val="24"/>
      <w:szCs w:val="24"/>
    </w:rPr>
  </w:style>
  <w:style w:type="paragraph" w:styleId="21">
    <w:name w:val="annotation subject"/>
    <w:basedOn w:val="7"/>
    <w:next w:val="7"/>
    <w:link w:val="56"/>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unhideWhenUsed/>
    <w:qFormat/>
    <w:uiPriority w:val="99"/>
    <w:rPr>
      <w:sz w:val="21"/>
      <w:szCs w:val="21"/>
    </w:rPr>
  </w:style>
  <w:style w:type="character" w:styleId="28">
    <w:name w:val="footnote reference"/>
    <w:basedOn w:val="24"/>
    <w:unhideWhenUsed/>
    <w:qFormat/>
    <w:uiPriority w:val="99"/>
    <w:rPr>
      <w:vertAlign w:val="superscript"/>
    </w:rPr>
  </w:style>
  <w:style w:type="paragraph" w:customStyle="1" w:styleId="29">
    <w:name w:val="工信院正文"/>
    <w:basedOn w:val="30"/>
    <w:link w:val="31"/>
    <w:qFormat/>
    <w:uiPriority w:val="0"/>
    <w:pPr>
      <w:spacing w:line="600" w:lineRule="exact"/>
      <w:ind w:firstLine="643"/>
    </w:pPr>
    <w:rPr>
      <w:kern w:val="2"/>
    </w:rPr>
  </w:style>
  <w:style w:type="paragraph" w:customStyle="1" w:styleId="30">
    <w:name w:val="工经所正文"/>
    <w:basedOn w:val="1"/>
    <w:link w:val="53"/>
    <w:qFormat/>
    <w:uiPriority w:val="0"/>
    <w:pPr>
      <w:spacing w:line="640" w:lineRule="exact"/>
      <w:ind w:firstLine="640" w:firstLineChars="200"/>
    </w:pPr>
    <w:rPr>
      <w:rFonts w:ascii="Times New Roman" w:hAnsi="Times New Roman" w:eastAsia="仿宋_GB2312"/>
      <w:sz w:val="32"/>
      <w:szCs w:val="32"/>
    </w:rPr>
  </w:style>
  <w:style w:type="character" w:customStyle="1" w:styleId="31">
    <w:name w:val="工信院正文 字符"/>
    <w:link w:val="29"/>
    <w:qFormat/>
    <w:uiPriority w:val="0"/>
    <w:rPr>
      <w:rFonts w:ascii="Times New Roman" w:hAnsi="Times New Roman" w:eastAsia="仿宋_GB2312"/>
      <w:kern w:val="2"/>
      <w:sz w:val="32"/>
      <w:szCs w:val="32"/>
    </w:rPr>
  </w:style>
  <w:style w:type="paragraph" w:customStyle="1" w:styleId="32">
    <w:name w:val="院目录标题"/>
    <w:basedOn w:val="1"/>
    <w:link w:val="33"/>
    <w:qFormat/>
    <w:uiPriority w:val="0"/>
    <w:pPr>
      <w:snapToGrid w:val="0"/>
      <w:spacing w:before="156" w:beforeLines="50"/>
      <w:jc w:val="center"/>
    </w:pPr>
    <w:rPr>
      <w:rFonts w:ascii="Times New Roman" w:hAnsi="Times New Roman" w:eastAsia="黑体"/>
      <w:kern w:val="2"/>
      <w:sz w:val="44"/>
      <w:szCs w:val="36"/>
    </w:rPr>
  </w:style>
  <w:style w:type="character" w:customStyle="1" w:styleId="33">
    <w:name w:val="院目录标题 字符"/>
    <w:link w:val="32"/>
    <w:qFormat/>
    <w:uiPriority w:val="0"/>
    <w:rPr>
      <w:rFonts w:ascii="Times New Roman" w:hAnsi="Times New Roman" w:eastAsia="黑体"/>
      <w:kern w:val="2"/>
      <w:sz w:val="44"/>
      <w:szCs w:val="36"/>
    </w:rPr>
  </w:style>
  <w:style w:type="paragraph" w:customStyle="1" w:styleId="34">
    <w:name w:val="院目录正文"/>
    <w:basedOn w:val="14"/>
    <w:link w:val="35"/>
    <w:qFormat/>
    <w:uiPriority w:val="0"/>
    <w:pPr>
      <w:widowControl/>
      <w:tabs>
        <w:tab w:val="right" w:leader="dot" w:pos="8834"/>
      </w:tabs>
      <w:spacing w:line="480" w:lineRule="auto"/>
      <w:jc w:val="left"/>
    </w:pPr>
    <w:rPr>
      <w:rFonts w:eastAsia="楷体_GB2312"/>
      <w:b/>
      <w:bCs/>
      <w:caps/>
      <w:kern w:val="2"/>
      <w:sz w:val="32"/>
      <w:szCs w:val="32"/>
    </w:rPr>
  </w:style>
  <w:style w:type="character" w:customStyle="1" w:styleId="35">
    <w:name w:val="院目录正文 字符"/>
    <w:link w:val="34"/>
    <w:qFormat/>
    <w:uiPriority w:val="0"/>
    <w:rPr>
      <w:rFonts w:ascii="Times New Roman" w:hAnsi="Times New Roman" w:eastAsia="楷体_GB2312"/>
      <w:b/>
      <w:bCs/>
      <w:caps/>
      <w:kern w:val="2"/>
      <w:sz w:val="32"/>
      <w:szCs w:val="32"/>
    </w:rPr>
  </w:style>
  <w:style w:type="paragraph" w:customStyle="1" w:styleId="36">
    <w:name w:val="图表标题"/>
    <w:basedOn w:val="1"/>
    <w:link w:val="37"/>
    <w:qFormat/>
    <w:uiPriority w:val="0"/>
    <w:pPr>
      <w:pBdr>
        <w:top w:val="none" w:color="000000" w:sz="0" w:space="0"/>
        <w:left w:val="none" w:color="000000" w:sz="0" w:space="0"/>
        <w:bottom w:val="none" w:color="000000" w:sz="0" w:space="0"/>
        <w:right w:val="none" w:color="000000" w:sz="0" w:space="1"/>
      </w:pBdr>
      <w:shd w:val="solid" w:color="FFFFFF" w:fill="auto"/>
      <w:autoSpaceDN w:val="0"/>
      <w:spacing w:after="156" w:afterLines="50" w:line="600" w:lineRule="exact"/>
      <w:jc w:val="center"/>
    </w:pPr>
    <w:rPr>
      <w:rFonts w:ascii="Times New Roman" w:hAnsi="Times New Roman" w:eastAsia="黑体"/>
      <w:kern w:val="2"/>
      <w:sz w:val="32"/>
      <w:szCs w:val="22"/>
      <w:shd w:val="clear" w:color="auto" w:fill="FFFFFF"/>
    </w:rPr>
  </w:style>
  <w:style w:type="character" w:customStyle="1" w:styleId="37">
    <w:name w:val="图表标题 字符"/>
    <w:basedOn w:val="24"/>
    <w:link w:val="36"/>
    <w:qFormat/>
    <w:uiPriority w:val="0"/>
    <w:rPr>
      <w:rFonts w:ascii="Times New Roman" w:hAnsi="Times New Roman" w:eastAsia="黑体"/>
      <w:kern w:val="2"/>
      <w:sz w:val="32"/>
      <w:szCs w:val="22"/>
      <w:shd w:val="solid" w:color="FFFFFF" w:fill="auto"/>
    </w:rPr>
  </w:style>
  <w:style w:type="paragraph" w:customStyle="1" w:styleId="38">
    <w:name w:val="院表正文"/>
    <w:basedOn w:val="1"/>
    <w:link w:val="39"/>
    <w:qFormat/>
    <w:uiPriority w:val="0"/>
    <w:rPr>
      <w:rFonts w:ascii="Times New Roman" w:hAnsi="Times New Roman"/>
      <w:kern w:val="2"/>
      <w:sz w:val="24"/>
      <w:szCs w:val="24"/>
    </w:rPr>
  </w:style>
  <w:style w:type="character" w:customStyle="1" w:styleId="39">
    <w:name w:val="院表正文 字符"/>
    <w:basedOn w:val="24"/>
    <w:link w:val="38"/>
    <w:qFormat/>
    <w:uiPriority w:val="0"/>
    <w:rPr>
      <w:rFonts w:ascii="Times New Roman" w:hAnsi="Times New Roman"/>
      <w:kern w:val="2"/>
      <w:sz w:val="24"/>
      <w:szCs w:val="24"/>
    </w:rPr>
  </w:style>
  <w:style w:type="paragraph" w:customStyle="1" w:styleId="40">
    <w:name w:val="工信院4"/>
    <w:basedOn w:val="29"/>
    <w:link w:val="41"/>
    <w:qFormat/>
    <w:uiPriority w:val="0"/>
    <w:pPr>
      <w:ind w:firstLine="640"/>
      <w:outlineLvl w:val="3"/>
    </w:pPr>
  </w:style>
  <w:style w:type="character" w:customStyle="1" w:styleId="41">
    <w:name w:val="工信院4 字符"/>
    <w:basedOn w:val="31"/>
    <w:link w:val="40"/>
    <w:qFormat/>
    <w:uiPriority w:val="0"/>
    <w:rPr>
      <w:rFonts w:ascii="Times New Roman" w:hAnsi="Times New Roman" w:eastAsia="仿宋_GB2312"/>
      <w:kern w:val="2"/>
      <w:sz w:val="32"/>
      <w:szCs w:val="32"/>
    </w:rPr>
  </w:style>
  <w:style w:type="paragraph" w:customStyle="1" w:styleId="42">
    <w:name w:val="院附件标题"/>
    <w:basedOn w:val="29"/>
    <w:link w:val="43"/>
    <w:qFormat/>
    <w:uiPriority w:val="0"/>
    <w:pPr>
      <w:ind w:firstLine="602"/>
      <w:outlineLvl w:val="0"/>
    </w:pPr>
    <w:rPr>
      <w:b/>
      <w:sz w:val="30"/>
      <w:szCs w:val="30"/>
    </w:rPr>
  </w:style>
  <w:style w:type="character" w:customStyle="1" w:styleId="43">
    <w:name w:val="院附件标题 字符"/>
    <w:basedOn w:val="31"/>
    <w:link w:val="42"/>
    <w:qFormat/>
    <w:uiPriority w:val="0"/>
    <w:rPr>
      <w:rFonts w:ascii="Times New Roman" w:hAnsi="Times New Roman" w:eastAsia="仿宋_GB2312"/>
      <w:b/>
      <w:kern w:val="2"/>
      <w:sz w:val="30"/>
      <w:szCs w:val="30"/>
    </w:rPr>
  </w:style>
  <w:style w:type="paragraph" w:customStyle="1" w:styleId="44">
    <w:name w:val="院附件正文"/>
    <w:basedOn w:val="29"/>
    <w:link w:val="45"/>
    <w:qFormat/>
    <w:uiPriority w:val="0"/>
    <w:pPr>
      <w:ind w:firstLine="600"/>
    </w:pPr>
    <w:rPr>
      <w:sz w:val="30"/>
      <w:szCs w:val="30"/>
    </w:rPr>
  </w:style>
  <w:style w:type="character" w:customStyle="1" w:styleId="45">
    <w:name w:val="院附件正文 字符"/>
    <w:basedOn w:val="31"/>
    <w:link w:val="44"/>
    <w:qFormat/>
    <w:uiPriority w:val="0"/>
    <w:rPr>
      <w:rFonts w:ascii="Times New Roman" w:hAnsi="Times New Roman" w:eastAsia="仿宋_GB2312"/>
      <w:kern w:val="2"/>
      <w:sz w:val="30"/>
      <w:szCs w:val="30"/>
    </w:rPr>
  </w:style>
  <w:style w:type="character" w:customStyle="1" w:styleId="46">
    <w:name w:val="标题 1 Char"/>
    <w:link w:val="3"/>
    <w:qFormat/>
    <w:uiPriority w:val="0"/>
    <w:rPr>
      <w:rFonts w:ascii="Times New Roman" w:hAnsi="Times New Roman" w:eastAsia="黑体"/>
      <w:kern w:val="2"/>
      <w:sz w:val="32"/>
      <w:szCs w:val="32"/>
    </w:rPr>
  </w:style>
  <w:style w:type="character" w:customStyle="1" w:styleId="47">
    <w:name w:val="标题 2 Char"/>
    <w:link w:val="4"/>
    <w:qFormat/>
    <w:uiPriority w:val="0"/>
    <w:rPr>
      <w:rFonts w:ascii="Times New Roman" w:hAnsi="Times New Roman" w:eastAsia="楷体_GB2312"/>
      <w:kern w:val="2"/>
      <w:sz w:val="32"/>
      <w:szCs w:val="32"/>
    </w:rPr>
  </w:style>
  <w:style w:type="character" w:customStyle="1" w:styleId="48">
    <w:name w:val="标题 3 Char"/>
    <w:link w:val="5"/>
    <w:qFormat/>
    <w:uiPriority w:val="0"/>
    <w:rPr>
      <w:rFonts w:ascii="Times New Roman" w:hAnsi="Times New Roman" w:eastAsia="仿宋_GB2312"/>
      <w:b/>
      <w:kern w:val="2"/>
      <w:sz w:val="32"/>
      <w:szCs w:val="32"/>
    </w:rPr>
  </w:style>
  <w:style w:type="paragraph" w:customStyle="1" w:styleId="49">
    <w:name w:val="TOC 标题1"/>
    <w:basedOn w:val="1"/>
    <w:next w:val="1"/>
    <w:qFormat/>
    <w:uiPriority w:val="0"/>
    <w:pPr>
      <w:spacing w:beforeLines="50" w:afterLines="50" w:line="480" w:lineRule="auto"/>
      <w:jc w:val="center"/>
    </w:pPr>
    <w:rPr>
      <w:rFonts w:ascii="Times New Roman" w:hAnsi="Times New Roman" w:eastAsia="方正小标宋简体"/>
      <w:sz w:val="52"/>
      <w:szCs w:val="52"/>
    </w:rPr>
  </w:style>
  <w:style w:type="character" w:customStyle="1" w:styleId="50">
    <w:name w:val="页眉 Char"/>
    <w:basedOn w:val="24"/>
    <w:link w:val="13"/>
    <w:qFormat/>
    <w:uiPriority w:val="99"/>
    <w:rPr>
      <w:sz w:val="18"/>
      <w:szCs w:val="18"/>
    </w:rPr>
  </w:style>
  <w:style w:type="character" w:customStyle="1" w:styleId="51">
    <w:name w:val="页脚 Char"/>
    <w:basedOn w:val="24"/>
    <w:link w:val="12"/>
    <w:qFormat/>
    <w:uiPriority w:val="99"/>
    <w:rPr>
      <w:sz w:val="18"/>
      <w:szCs w:val="18"/>
    </w:rPr>
  </w:style>
  <w:style w:type="character" w:customStyle="1" w:styleId="52">
    <w:name w:val="脚注文本 Char"/>
    <w:basedOn w:val="24"/>
    <w:link w:val="16"/>
    <w:semiHidden/>
    <w:qFormat/>
    <w:uiPriority w:val="99"/>
    <w:rPr>
      <w:sz w:val="18"/>
      <w:szCs w:val="18"/>
    </w:rPr>
  </w:style>
  <w:style w:type="character" w:customStyle="1" w:styleId="53">
    <w:name w:val="工经所正文 Char"/>
    <w:link w:val="30"/>
    <w:qFormat/>
    <w:uiPriority w:val="0"/>
    <w:rPr>
      <w:rFonts w:ascii="Times New Roman" w:hAnsi="Times New Roman" w:eastAsia="仿宋_GB2312"/>
      <w:sz w:val="32"/>
      <w:szCs w:val="32"/>
    </w:rPr>
  </w:style>
  <w:style w:type="character" w:customStyle="1" w:styleId="54">
    <w:name w:val="批注框文本 Char"/>
    <w:basedOn w:val="24"/>
    <w:link w:val="11"/>
    <w:semiHidden/>
    <w:qFormat/>
    <w:uiPriority w:val="99"/>
    <w:rPr>
      <w:sz w:val="18"/>
      <w:szCs w:val="18"/>
    </w:rPr>
  </w:style>
  <w:style w:type="character" w:customStyle="1" w:styleId="55">
    <w:name w:val="批注文字 Char"/>
    <w:basedOn w:val="24"/>
    <w:link w:val="7"/>
    <w:semiHidden/>
    <w:qFormat/>
    <w:uiPriority w:val="99"/>
  </w:style>
  <w:style w:type="character" w:customStyle="1" w:styleId="56">
    <w:name w:val="批注主题 Char"/>
    <w:basedOn w:val="55"/>
    <w:link w:val="21"/>
    <w:semiHidden/>
    <w:qFormat/>
    <w:uiPriority w:val="99"/>
    <w:rPr>
      <w:b/>
      <w:bCs/>
    </w:rPr>
  </w:style>
  <w:style w:type="character" w:customStyle="1" w:styleId="57">
    <w:name w:val="未处理的提及1"/>
    <w:basedOn w:val="24"/>
    <w:unhideWhenUsed/>
    <w:qFormat/>
    <w:uiPriority w:val="99"/>
    <w:rPr>
      <w:color w:val="605E5C"/>
      <w:shd w:val="clear" w:color="auto" w:fill="E1DFDD"/>
    </w:rPr>
  </w:style>
  <w:style w:type="paragraph" w:customStyle="1" w:styleId="58">
    <w:name w:val="TOC 标题2"/>
    <w:basedOn w:val="1"/>
    <w:next w:val="1"/>
    <w:qFormat/>
    <w:uiPriority w:val="0"/>
    <w:pPr>
      <w:spacing w:beforeLines="50" w:afterLines="50" w:line="480" w:lineRule="auto"/>
      <w:jc w:val="center"/>
    </w:pPr>
    <w:rPr>
      <w:rFonts w:ascii="Times New Roman" w:hAnsi="Times New Roman" w:eastAsia="方正小标宋简体"/>
      <w:sz w:val="52"/>
      <w:szCs w:val="52"/>
    </w:rPr>
  </w:style>
  <w:style w:type="character" w:customStyle="1" w:styleId="59">
    <w:name w:val="未处理的提及2"/>
    <w:basedOn w:val="24"/>
    <w:unhideWhenUsed/>
    <w:qFormat/>
    <w:uiPriority w:val="99"/>
    <w:rPr>
      <w:color w:val="605E5C"/>
      <w:shd w:val="clear" w:color="auto" w:fill="E1DFDD"/>
    </w:rPr>
  </w:style>
  <w:style w:type="paragraph" w:customStyle="1" w:styleId="60">
    <w:name w:val="TOC 标题3"/>
    <w:basedOn w:val="1"/>
    <w:next w:val="1"/>
    <w:qFormat/>
    <w:uiPriority w:val="0"/>
    <w:pPr>
      <w:spacing w:beforeLines="50" w:afterLines="50" w:line="480" w:lineRule="auto"/>
      <w:jc w:val="center"/>
    </w:pPr>
    <w:rPr>
      <w:rFonts w:ascii="Times New Roman" w:hAnsi="Times New Roman" w:eastAsia="方正小标宋简体"/>
      <w:sz w:val="52"/>
      <w:szCs w:val="52"/>
    </w:rPr>
  </w:style>
  <w:style w:type="character" w:customStyle="1" w:styleId="61">
    <w:name w:val="未处理的提及3"/>
    <w:basedOn w:val="24"/>
    <w:unhideWhenUsed/>
    <w:qFormat/>
    <w:uiPriority w:val="99"/>
    <w:rPr>
      <w:color w:val="605E5C"/>
      <w:shd w:val="clear" w:color="auto" w:fill="E1DFDD"/>
    </w:rPr>
  </w:style>
  <w:style w:type="character" w:customStyle="1" w:styleId="62">
    <w:name w:val="未处理的提及4"/>
    <w:basedOn w:val="24"/>
    <w:unhideWhenUsed/>
    <w:qFormat/>
    <w:uiPriority w:val="99"/>
    <w:rPr>
      <w:color w:val="605E5C"/>
      <w:shd w:val="clear" w:color="auto" w:fill="E1DFDD"/>
    </w:rPr>
  </w:style>
  <w:style w:type="character" w:customStyle="1" w:styleId="63">
    <w:name w:val="未处理的提及5"/>
    <w:basedOn w:val="24"/>
    <w:unhideWhenUsed/>
    <w:qFormat/>
    <w:uiPriority w:val="99"/>
    <w:rPr>
      <w:color w:val="605E5C"/>
      <w:shd w:val="clear" w:color="auto" w:fill="E1DFDD"/>
    </w:rPr>
  </w:style>
  <w:style w:type="paragraph" w:customStyle="1" w:styleId="64">
    <w:name w:val="TOC 标题4"/>
    <w:basedOn w:val="1"/>
    <w:next w:val="1"/>
    <w:qFormat/>
    <w:uiPriority w:val="0"/>
    <w:pPr>
      <w:spacing w:before="156" w:beforeLines="50" w:after="156" w:afterLines="50" w:line="480" w:lineRule="auto"/>
      <w:jc w:val="center"/>
    </w:pPr>
    <w:rPr>
      <w:rFonts w:ascii="Times New Roman" w:hAnsi="Times New Roman" w:eastAsia="方正小标宋简体"/>
      <w:sz w:val="52"/>
      <w:szCs w:val="52"/>
    </w:rPr>
  </w:style>
  <w:style w:type="character" w:customStyle="1" w:styleId="65">
    <w:name w:val="未处理的提及6"/>
    <w:basedOn w:val="24"/>
    <w:unhideWhenUsed/>
    <w:qFormat/>
    <w:uiPriority w:val="99"/>
    <w:rPr>
      <w:color w:val="605E5C"/>
      <w:shd w:val="clear" w:color="auto" w:fill="E1DFDD"/>
    </w:rPr>
  </w:style>
  <w:style w:type="paragraph" w:customStyle="1" w:styleId="66">
    <w:name w:val="TOC 标题5"/>
    <w:basedOn w:val="1"/>
    <w:next w:val="1"/>
    <w:qFormat/>
    <w:uiPriority w:val="0"/>
    <w:pPr>
      <w:spacing w:before="156" w:beforeLines="50" w:after="156" w:afterLines="50" w:line="480" w:lineRule="auto"/>
      <w:jc w:val="center"/>
    </w:pPr>
    <w:rPr>
      <w:rFonts w:ascii="Times New Roman" w:hAnsi="Times New Roman" w:eastAsia="方正小标宋简体"/>
      <w:sz w:val="52"/>
      <w:szCs w:val="52"/>
    </w:rPr>
  </w:style>
  <w:style w:type="character" w:customStyle="1" w:styleId="67">
    <w:name w:val="Unresolved Mention"/>
    <w:basedOn w:val="24"/>
    <w:semiHidden/>
    <w:unhideWhenUsed/>
    <w:qFormat/>
    <w:uiPriority w:val="99"/>
    <w:rPr>
      <w:color w:val="605E5C"/>
      <w:shd w:val="clear" w:color="auto" w:fill="E1DFDD"/>
    </w:rPr>
  </w:style>
  <w:style w:type="character" w:customStyle="1" w:styleId="68">
    <w:name w:val="bjh-p"/>
    <w:basedOn w:val="24"/>
    <w:qFormat/>
    <w:uiPriority w:val="0"/>
  </w:style>
  <w:style w:type="paragraph" w:styleId="69">
    <w:name w:val="List Paragraph"/>
    <w:basedOn w:val="1"/>
    <w:qFormat/>
    <w:uiPriority w:val="34"/>
    <w:pPr>
      <w:ind w:firstLine="420" w:firstLineChars="200"/>
    </w:pPr>
    <w:rPr>
      <w:rFonts w:ascii="Times New Roman" w:hAnsi="Times New Roman"/>
      <w:kern w:val="2"/>
      <w:sz w:val="21"/>
      <w:szCs w:val="24"/>
    </w:rPr>
  </w:style>
  <w:style w:type="paragraph" w:customStyle="1" w:styleId="70">
    <w:name w:val="标题2"/>
    <w:basedOn w:val="1"/>
    <w:qFormat/>
    <w:uiPriority w:val="0"/>
    <w:pPr>
      <w:spacing w:line="600" w:lineRule="exact"/>
      <w:ind w:firstLine="643" w:firstLineChars="200"/>
    </w:pPr>
    <w:rPr>
      <w:rFonts w:ascii="Times New Roman" w:hAnsi="Times New Roman"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0DB71-2500-4CA0-A44D-E42A4AC08C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23838</Words>
  <Characters>24332</Characters>
  <Lines>621</Lines>
  <Paragraphs>178</Paragraphs>
  <TotalTime>5</TotalTime>
  <ScaleCrop>false</ScaleCrop>
  <LinksUpToDate>false</LinksUpToDate>
  <CharactersWithSpaces>24404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2022-01-17T05:54:00Z</dcterms:created>
  <dc:creator>图灵互联网研究院</dc:creator>
  <cp:lastModifiedBy>Administrator</cp:lastModifiedBy>
  <cp:lastPrinted>2021-03-30T06:21:00Z</cp:lastPrinted>
  <dcterms:modified xsi:type="dcterms:W3CDTF">2022-07-18T09:14:17Z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03234B782D9246028A7E5AD518A04805</vt:lpwstr>
  </property>
</Properties>
</file>