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88" w:rsidRDefault="002F7988" w:rsidP="002F798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乐清市综合行政执法局关于公布</w:t>
      </w:r>
    </w:p>
    <w:p w:rsidR="002F7988" w:rsidRDefault="002F7988" w:rsidP="002F798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行政规范性文件清理结果的通知（征求意见稿）</w:t>
      </w:r>
    </w:p>
    <w:p w:rsidR="002F7988" w:rsidRDefault="002F7988" w:rsidP="002F7988">
      <w:pPr>
        <w:rPr>
          <w:rFonts w:ascii="仿宋_GB2312" w:eastAsia="仿宋_GB2312" w:hAnsi="仿宋_GB2312" w:cs="仿宋_GB2312"/>
          <w:sz w:val="32"/>
          <w:szCs w:val="32"/>
        </w:rPr>
      </w:pPr>
    </w:p>
    <w:p w:rsidR="002F7988" w:rsidRDefault="002F7988" w:rsidP="002F7988">
      <w:pPr>
        <w:rPr>
          <w:rFonts w:ascii="仿宋_GB2312" w:eastAsia="仿宋_GB2312" w:hAnsi="仿宋_GB2312" w:cs="仿宋_GB2312"/>
          <w:sz w:val="32"/>
          <w:szCs w:val="32"/>
        </w:rPr>
      </w:pPr>
      <w:r>
        <w:rPr>
          <w:rFonts w:ascii="仿宋_GB2312" w:eastAsia="仿宋_GB2312" w:hAnsi="仿宋_GB2312" w:cs="仿宋_GB2312" w:hint="eastAsia"/>
          <w:sz w:val="32"/>
          <w:szCs w:val="32"/>
        </w:rPr>
        <w:t>局机关各科室、中队，局属各单位：</w:t>
      </w:r>
    </w:p>
    <w:p w:rsidR="002F7988" w:rsidRDefault="002F7988" w:rsidP="002F7988">
      <w:pPr>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为加强行政规范性文件管理，切实推进依法行政，加快法治政府建设，根据《浙江省行政规范性文件管理办法》（省政府令第372号）和《乐清市人民政府办公室关于全面开展行政规范性文件清理工作的通知》（乐政办发明电〔2020〕12号）的有关要求，对2021年12月31日以前我局（包括与其他主管部门联合）制定的行政规范性文件进行了全面清理。确定继续有效的行政规范性文件5件，废止的行政规范性文件1件，现将清理结果予以公布。</w:t>
      </w:r>
    </w:p>
    <w:p w:rsidR="002F7988" w:rsidRDefault="002F7988" w:rsidP="002F7988">
      <w:pPr>
        <w:ind w:firstLineChars="200" w:firstLine="620"/>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本通知自2022年3月1日起施行。</w:t>
      </w:r>
    </w:p>
    <w:p w:rsidR="002F7988" w:rsidRDefault="002F7988" w:rsidP="002F7988">
      <w:pPr>
        <w:ind w:firstLineChars="200" w:firstLine="620"/>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附件：乐清市综合行政执法局规范性文件清理目录</w:t>
      </w:r>
    </w:p>
    <w:p w:rsidR="002F7988" w:rsidRDefault="002F7988" w:rsidP="002F7988">
      <w:pPr>
        <w:widowControl/>
        <w:ind w:firstLineChars="1200" w:firstLine="3720"/>
        <w:jc w:val="left"/>
        <w:rPr>
          <w:rFonts w:ascii="仿宋_GB2312" w:eastAsia="仿宋_GB2312" w:hAnsi="宋体" w:cs="仿宋_GB2312"/>
          <w:color w:val="000000"/>
          <w:kern w:val="0"/>
          <w:sz w:val="31"/>
          <w:szCs w:val="31"/>
        </w:rPr>
      </w:pPr>
    </w:p>
    <w:p w:rsidR="002F7988" w:rsidRDefault="002F7988" w:rsidP="002F7988">
      <w:pPr>
        <w:widowControl/>
        <w:ind w:firstLineChars="1200" w:firstLine="3720"/>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乐清市综合行政执法局</w:t>
      </w:r>
    </w:p>
    <w:p w:rsidR="002F7988" w:rsidRDefault="002F7988" w:rsidP="002F7988">
      <w:pPr>
        <w:widowControl/>
        <w:ind w:firstLineChars="1300" w:firstLine="4030"/>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t>2022年1月24日</w:t>
      </w:r>
    </w:p>
    <w:p w:rsidR="002F7988" w:rsidRDefault="002F7988" w:rsidP="002F7988">
      <w:pPr>
        <w:widowControl/>
        <w:jc w:val="left"/>
        <w:rPr>
          <w:rFonts w:ascii="仿宋_GB2312" w:eastAsia="仿宋_GB2312" w:hAnsi="宋体" w:cs="仿宋_GB2312"/>
          <w:color w:val="000000"/>
          <w:kern w:val="0"/>
          <w:sz w:val="31"/>
          <w:szCs w:val="31"/>
        </w:rPr>
      </w:pPr>
    </w:p>
    <w:p w:rsidR="002F7988" w:rsidRDefault="002F7988" w:rsidP="002F7988">
      <w:pPr>
        <w:widowControl/>
        <w:jc w:val="left"/>
        <w:rPr>
          <w:rFonts w:ascii="仿宋_GB2312" w:eastAsia="仿宋_GB2312" w:hAnsi="宋体" w:cs="仿宋_GB2312"/>
          <w:color w:val="000000"/>
          <w:kern w:val="0"/>
          <w:sz w:val="31"/>
          <w:szCs w:val="31"/>
        </w:rPr>
      </w:pPr>
    </w:p>
    <w:p w:rsidR="002F7988" w:rsidRDefault="002F7988" w:rsidP="002F7988">
      <w:pPr>
        <w:widowControl/>
        <w:jc w:val="left"/>
        <w:rPr>
          <w:rFonts w:ascii="仿宋_GB2312" w:eastAsia="仿宋_GB2312" w:hAnsi="宋体" w:cs="仿宋_GB2312"/>
          <w:color w:val="000000"/>
          <w:kern w:val="0"/>
          <w:sz w:val="31"/>
          <w:szCs w:val="31"/>
        </w:rPr>
      </w:pPr>
    </w:p>
    <w:p w:rsidR="002F7988" w:rsidRDefault="002F7988" w:rsidP="002F7988">
      <w:pPr>
        <w:widowControl/>
        <w:jc w:val="left"/>
        <w:rPr>
          <w:rFonts w:ascii="仿宋_GB2312" w:eastAsia="仿宋_GB2312" w:hAnsi="宋体" w:cs="仿宋_GB2312"/>
          <w:color w:val="000000"/>
          <w:kern w:val="0"/>
          <w:sz w:val="31"/>
          <w:szCs w:val="31"/>
        </w:rPr>
      </w:pPr>
    </w:p>
    <w:p w:rsidR="002F7988" w:rsidRDefault="002F7988" w:rsidP="002F7988">
      <w:pPr>
        <w:widowControl/>
        <w:jc w:val="left"/>
        <w:rPr>
          <w:rFonts w:ascii="仿宋_GB2312" w:eastAsia="仿宋_GB2312" w:hAnsi="宋体" w:cs="仿宋_GB2312"/>
          <w:color w:val="000000"/>
          <w:kern w:val="0"/>
          <w:sz w:val="31"/>
          <w:szCs w:val="31"/>
        </w:rPr>
      </w:pPr>
    </w:p>
    <w:p w:rsidR="002F7988" w:rsidRDefault="002F7988" w:rsidP="002F7988">
      <w:pPr>
        <w:widowControl/>
        <w:jc w:val="left"/>
        <w:rPr>
          <w:rFonts w:ascii="仿宋_GB2312" w:eastAsia="仿宋_GB2312" w:hAnsi="宋体" w:cs="仿宋_GB2312"/>
          <w:color w:val="000000"/>
          <w:kern w:val="0"/>
          <w:sz w:val="31"/>
          <w:szCs w:val="31"/>
        </w:rPr>
      </w:pPr>
      <w:r>
        <w:rPr>
          <w:rFonts w:ascii="仿宋_GB2312" w:eastAsia="仿宋_GB2312" w:hAnsi="宋体" w:cs="仿宋_GB2312" w:hint="eastAsia"/>
          <w:color w:val="000000"/>
          <w:kern w:val="0"/>
          <w:sz w:val="31"/>
          <w:szCs w:val="31"/>
        </w:rPr>
        <w:lastRenderedPageBreak/>
        <w:t>附件：</w:t>
      </w:r>
    </w:p>
    <w:p w:rsidR="002F7988" w:rsidRDefault="002F7988" w:rsidP="002F7988">
      <w:pPr>
        <w:widowControl/>
        <w:jc w:val="center"/>
        <w:rPr>
          <w:rFonts w:ascii="方正小标宋简体" w:eastAsia="方正小标宋简体" w:hAnsi="方正小标宋简体" w:cs="方正小标宋简体"/>
          <w:color w:val="000000"/>
          <w:spacing w:val="6"/>
          <w:sz w:val="40"/>
          <w:szCs w:val="40"/>
        </w:rPr>
      </w:pPr>
      <w:r>
        <w:rPr>
          <w:rFonts w:ascii="方正小标宋简体" w:eastAsia="方正小标宋简体" w:hAnsi="方正小标宋简体" w:cs="方正小标宋简体" w:hint="eastAsia"/>
          <w:color w:val="000000"/>
          <w:spacing w:val="6"/>
          <w:sz w:val="40"/>
          <w:szCs w:val="40"/>
        </w:rPr>
        <w:t>乐清市综合行政执法局规范性文件清理目录</w:t>
      </w:r>
    </w:p>
    <w:p w:rsidR="002F7988" w:rsidRDefault="002F7988" w:rsidP="002F7988">
      <w:pPr>
        <w:widowControl/>
        <w:jc w:val="center"/>
        <w:rPr>
          <w:rFonts w:ascii="黑体" w:eastAsia="黑体" w:hAnsi="黑体" w:cs="黑体"/>
          <w:color w:val="000000"/>
          <w:kern w:val="0"/>
          <w:sz w:val="32"/>
          <w:szCs w:val="32"/>
        </w:rPr>
      </w:pPr>
      <w:r>
        <w:rPr>
          <w:rFonts w:ascii="黑体" w:eastAsia="黑体" w:hAnsi="黑体" w:cs="黑体" w:hint="eastAsia"/>
          <w:color w:val="000000"/>
          <w:spacing w:val="6"/>
          <w:sz w:val="32"/>
          <w:szCs w:val="32"/>
        </w:rPr>
        <w:t>一、继续有效的行政规范性文件目录</w:t>
      </w:r>
    </w:p>
    <w:tbl>
      <w:tblPr>
        <w:tblW w:w="8316" w:type="dxa"/>
        <w:tblCellMar>
          <w:left w:w="0" w:type="dxa"/>
          <w:right w:w="0" w:type="dxa"/>
        </w:tblCellMar>
        <w:tblLook w:val="0000"/>
      </w:tblPr>
      <w:tblGrid>
        <w:gridCol w:w="545"/>
        <w:gridCol w:w="1557"/>
        <w:gridCol w:w="4264"/>
        <w:gridCol w:w="1950"/>
      </w:tblGrid>
      <w:tr w:rsidR="002F7988" w:rsidTr="0015151A">
        <w:trPr>
          <w:trHeight w:val="842"/>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序号</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文号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文件名</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spacing w:val="6"/>
                <w:sz w:val="24"/>
              </w:rPr>
              <w:t>“三统一”编号</w:t>
            </w:r>
          </w:p>
        </w:tc>
      </w:tr>
      <w:tr w:rsidR="002F7988" w:rsidTr="0015151A">
        <w:trPr>
          <w:trHeight w:val="1064"/>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乐综执〔2017〕98号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关于对市区部分人行道违法停车予以处罚的通告</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CYQD56-2017-0001</w:t>
            </w:r>
          </w:p>
        </w:tc>
      </w:tr>
      <w:tr w:rsidR="002F7988" w:rsidTr="0015151A">
        <w:trPr>
          <w:trHeight w:val="1139"/>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乐综执〔2017〕128号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关于对部分乡镇街道人行道违法停车实施行政处罚的通告</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CYQD56-2017-0002</w:t>
            </w:r>
          </w:p>
        </w:tc>
      </w:tr>
      <w:tr w:rsidR="002F7988" w:rsidTr="0015151A">
        <w:trPr>
          <w:trHeight w:val="1094"/>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3</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乐综执〔2018〕103号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关于增加对主城区及乡镇（街道）部分人行道 违法停车实施行政处罚的通告第3号</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CYQD56-2018-0001</w:t>
            </w:r>
          </w:p>
        </w:tc>
      </w:tr>
      <w:tr w:rsidR="002F7988" w:rsidTr="0015151A">
        <w:trPr>
          <w:trHeight w:val="1214"/>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4</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乐综执〔2020〕78号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关于违法建筑按单体工程造价标准予以处罚的通知</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CYQD56-2020-0002</w:t>
            </w:r>
          </w:p>
        </w:tc>
      </w:tr>
      <w:tr w:rsidR="002F7988" w:rsidTr="0015151A">
        <w:trPr>
          <w:trHeight w:val="1344"/>
        </w:trPr>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乐综执〔2020〕79号</w:t>
            </w:r>
          </w:p>
        </w:tc>
        <w:tc>
          <w:tcPr>
            <w:tcW w:w="42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tabs>
                <w:tab w:val="left" w:pos="720"/>
              </w:tabs>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关于城乡规划建设类违法行为行政处罚自由裁量权细化的通知</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CYQD56-2020-0003</w:t>
            </w:r>
          </w:p>
        </w:tc>
      </w:tr>
    </w:tbl>
    <w:p w:rsidR="002F7988" w:rsidRDefault="002F7988" w:rsidP="002F7988">
      <w:pPr>
        <w:widowControl/>
        <w:jc w:val="center"/>
        <w:rPr>
          <w:rFonts w:ascii="方正小标宋简体" w:eastAsia="方正小标宋简体" w:hAnsi="方正小标宋简体" w:cs="方正小标宋简体"/>
          <w:color w:val="000000"/>
          <w:spacing w:val="6"/>
          <w:sz w:val="40"/>
          <w:szCs w:val="40"/>
        </w:rPr>
      </w:pPr>
    </w:p>
    <w:p w:rsidR="002F7988" w:rsidRDefault="002F7988" w:rsidP="002F7988">
      <w:pPr>
        <w:widowControl/>
        <w:jc w:val="center"/>
        <w:rPr>
          <w:rFonts w:ascii="黑体" w:eastAsia="黑体" w:hAnsi="黑体" w:cs="黑体"/>
          <w:color w:val="000000"/>
          <w:spacing w:val="6"/>
          <w:sz w:val="32"/>
          <w:szCs w:val="32"/>
        </w:rPr>
      </w:pPr>
      <w:r>
        <w:rPr>
          <w:rFonts w:ascii="黑体" w:eastAsia="黑体" w:hAnsi="黑体" w:cs="黑体" w:hint="eastAsia"/>
          <w:color w:val="000000"/>
          <w:spacing w:val="6"/>
          <w:sz w:val="32"/>
          <w:szCs w:val="32"/>
        </w:rPr>
        <w:t>二、废止的行政规范性文件目录</w:t>
      </w:r>
    </w:p>
    <w:tbl>
      <w:tblPr>
        <w:tblW w:w="8316" w:type="dxa"/>
        <w:tblCellMar>
          <w:left w:w="0" w:type="dxa"/>
          <w:right w:w="0" w:type="dxa"/>
        </w:tblCellMar>
        <w:tblLook w:val="0000"/>
      </w:tblPr>
      <w:tblGrid>
        <w:gridCol w:w="545"/>
        <w:gridCol w:w="1557"/>
        <w:gridCol w:w="4264"/>
        <w:gridCol w:w="1950"/>
      </w:tblGrid>
      <w:tr w:rsidR="002F7988" w:rsidTr="0015151A">
        <w:trPr>
          <w:trHeight w:val="842"/>
        </w:trPr>
        <w:tc>
          <w:tcPr>
            <w:tcW w:w="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序号</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文号</w:t>
            </w:r>
          </w:p>
        </w:tc>
        <w:tc>
          <w:tcPr>
            <w:tcW w:w="4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rPr>
              <w:t>文件名</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黑体" w:eastAsia="黑体" w:hAnsi="黑体" w:cs="黑体"/>
                <w:color w:val="000000"/>
                <w:sz w:val="24"/>
              </w:rPr>
            </w:pPr>
            <w:r>
              <w:rPr>
                <w:rFonts w:ascii="黑体" w:eastAsia="黑体" w:hAnsi="黑体" w:cs="黑体" w:hint="eastAsia"/>
                <w:color w:val="000000"/>
                <w:spacing w:val="6"/>
                <w:sz w:val="24"/>
              </w:rPr>
              <w:t>“三统一”编号</w:t>
            </w:r>
          </w:p>
        </w:tc>
      </w:tr>
      <w:tr w:rsidR="002F7988" w:rsidTr="0015151A">
        <w:trPr>
          <w:trHeight w:val="1719"/>
        </w:trPr>
        <w:tc>
          <w:tcPr>
            <w:tcW w:w="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乐综执〔2020〕69号</w:t>
            </w:r>
          </w:p>
        </w:tc>
        <w:tc>
          <w:tcPr>
            <w:tcW w:w="4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关于印发《乐清市住宅二次供水管理实施细则》的通知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7988" w:rsidRDefault="002F7988" w:rsidP="0015151A">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CYQD56-2020-0001</w:t>
            </w:r>
          </w:p>
        </w:tc>
      </w:tr>
    </w:tbl>
    <w:p w:rsidR="002F7988" w:rsidRDefault="002F7988" w:rsidP="002F7988">
      <w:pPr>
        <w:widowControl/>
        <w:jc w:val="left"/>
        <w:rPr>
          <w:rFonts w:ascii="方正小标宋简体" w:eastAsia="方正小标宋简体" w:hAnsi="方正小标宋简体" w:cs="方正小标宋简体"/>
          <w:color w:val="000000"/>
          <w:spacing w:val="6"/>
          <w:sz w:val="40"/>
          <w:szCs w:val="40"/>
        </w:rPr>
      </w:pPr>
    </w:p>
    <w:p w:rsidR="002F7988" w:rsidRDefault="002F7988" w:rsidP="002F7988">
      <w:pPr>
        <w:rPr>
          <w:rFonts w:ascii="仿宋_GB2312" w:eastAsia="仿宋_GB2312" w:hAnsi="仿宋_GB2312" w:cs="仿宋_GB2312"/>
          <w:color w:val="000000"/>
          <w:spacing w:val="6"/>
          <w:sz w:val="24"/>
        </w:rPr>
      </w:pPr>
    </w:p>
    <w:p w:rsidR="00FB4A15" w:rsidRDefault="00FB4A15"/>
    <w:sectPr w:rsidR="00FB4A15" w:rsidSect="006C2F5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D2" w:rsidRDefault="00AD3ED2" w:rsidP="002F7988">
      <w:r>
        <w:separator/>
      </w:r>
    </w:p>
  </w:endnote>
  <w:endnote w:type="continuationSeparator" w:id="1">
    <w:p w:rsidR="00AD3ED2" w:rsidRDefault="00AD3ED2" w:rsidP="002F7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D2" w:rsidRDefault="00AD3ED2" w:rsidP="002F7988">
      <w:r>
        <w:separator/>
      </w:r>
    </w:p>
  </w:footnote>
  <w:footnote w:type="continuationSeparator" w:id="1">
    <w:p w:rsidR="00AD3ED2" w:rsidRDefault="00AD3ED2" w:rsidP="002F7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988"/>
    <w:rsid w:val="002F7988"/>
    <w:rsid w:val="006C2F5E"/>
    <w:rsid w:val="00AD3ED2"/>
    <w:rsid w:val="00C600A1"/>
    <w:rsid w:val="00FB4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9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7988"/>
    <w:rPr>
      <w:sz w:val="18"/>
      <w:szCs w:val="18"/>
    </w:rPr>
  </w:style>
  <w:style w:type="paragraph" w:styleId="a4">
    <w:name w:val="footer"/>
    <w:basedOn w:val="a"/>
    <w:link w:val="Char0"/>
    <w:uiPriority w:val="99"/>
    <w:semiHidden/>
    <w:unhideWhenUsed/>
    <w:rsid w:val="002F79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F79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微软中国</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2022-01-24T03:39:00Z</dcterms:created>
  <dcterms:modified xsi:type="dcterms:W3CDTF">2022-01-24T03:45:00Z</dcterms:modified>
</cp:coreProperties>
</file>