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firstLine="723" w:firstLineChars="200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《乐清市综合交通运输发展“十四五”规划（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）》起草说明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现就《乐清市综合交通运输发展“十四五”规划（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征求意见稿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）》有关情况说明如下：</w:t>
      </w:r>
    </w:p>
    <w:p>
      <w:pPr>
        <w:numPr>
          <w:ilvl w:val="0"/>
          <w:numId w:val="1"/>
        </w:numPr>
        <w:spacing w:line="60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规划制定背景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乐清市综合交通运输发展“十四五”规划（以下简称“本规划”）基于乐清市“十三五”成就，结合浙江省建设高水平交通强省、高质量发展共同富裕示范区，温州市作为浙江省交通强国建设试点单位等机遇，立足乐清市区位条件与交通基础设施现状，依据《乐清市国民经济和社会发展第十四个五年规划和2035年远景目标纲要》，提出“打造外联内畅、同城一体的温北枢纽”作为交通发展“十四五”规划总目标。</w:t>
      </w:r>
    </w:p>
    <w:p>
      <w:pPr>
        <w:numPr>
          <w:ilvl w:val="0"/>
          <w:numId w:val="1"/>
        </w:numPr>
        <w:snapToGrid w:val="0"/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规划编制依据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本规划编制依据以下主要规划及相关规定：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《交通强国建设浙江省试点任务要点》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2、《长江三角洲区域一体化发展规划纲要》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、《浙江省综合立体交通网规划（2021-2050年）》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、《浙江省综合交通运输发展“十四五”规划》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、《浙江省综合交通枢纽“十四五”规划》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、《浙江省水运发展“十四五”规划》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、《温州市综合交通运输发展“十四五”规划》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、《温州市城市轨道交通线网规划（修编）》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、《温州港乐清湾港区控制性详细规划》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、《打造温州港浙南枢纽相关举措研究》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、《乐清市国民经济和社会发展第十四个五年规划和2035年远景目标纲要》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、《乐清市综合交通运输发展“十三五”规划》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、《乐清市域总体规划（2013-2030年）》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、《乐清市高架桥下空间利用专项规划》（报批稿）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、《乐清市加油站专项规划（修改）》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、《乐清市城市公共交通规划》(报批稿）</w:t>
      </w:r>
    </w:p>
    <w:p>
      <w:pPr>
        <w:numPr>
          <w:ilvl w:val="0"/>
          <w:numId w:val="1"/>
        </w:numPr>
        <w:snapToGrid w:val="0"/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规划制定过程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2020年我局启动规划编制工作，深入各镇（街道）、功能区调研，广泛征求各部门意见。2021年7月，召开乐清市交通运输局党委扩大会议，就《乐清市综合交通运输发展“十四五”规划》（初稿）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讨论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对文本相应的问题作出修改并进行数据补充，形成《乐清市综合交通运输发展“十四五”规划》（征求意见稿）和《乐清市综合交通运输发展“十四五”规划》居民调查问卷。8月上旬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征求意见稿向政府组成部门、直属机构、各乡镇（街道）及其他相关部门等73个单位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征求意见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对反馈过来的37条意见总结梳理，完善高铁新城、与相邻县市的道路提升项目等内容。8月中旬，形成《乐清市综合交通运输发展“十四五”规划》（送审稿）。8月30日，市府办赵海宾召集各部门、乡镇（街道）讨论通过《乐清市综合交通运输发展“十四五”规划》。9月17日到10月18日在网上征求意见，共收到群众3条意见。10月27日向徐建兵书记汇报综合交通“十四五”规划，根据市领导意见进一步完成规划修改，规划文本完成定稿。</w:t>
      </w:r>
    </w:p>
    <w:p>
      <w:pPr>
        <w:snapToGrid w:val="0"/>
        <w:spacing w:line="600" w:lineRule="exact"/>
        <w:ind w:firstLine="56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四、规划主要内容</w:t>
      </w:r>
    </w:p>
    <w:p>
      <w:pPr>
        <w:pStyle w:val="2"/>
        <w:ind w:firstLine="321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本次《乐清市综合交通运输发展“十四五”规划》内容主要包括分析我市综合交通现状、存在的主要问题和发展形势，提出指导思想和发展目标、思路和举措、投资规划、资金筹措和保障措施等内容。</w:t>
      </w:r>
    </w:p>
    <w:p>
      <w:pPr>
        <w:numPr>
          <w:ilvl w:val="0"/>
          <w:numId w:val="2"/>
        </w:numPr>
        <w:spacing w:line="600" w:lineRule="exact"/>
        <w:ind w:firstLine="643" w:firstLineChars="200"/>
        <w:rPr>
          <w:rFonts w:ascii="仿宋_GB2312" w:hAns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发展目标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</w:rPr>
        <w:t>以打造外联内畅、同城一体的温州北翼现代综合交通枢纽为总目标</w:t>
      </w:r>
      <w:r>
        <w:rPr>
          <w:rFonts w:hint="eastAsia" w:ascii="仿宋_GB2312" w:hAnsi="黑体" w:eastAsia="仿宋_GB2312"/>
          <w:sz w:val="32"/>
          <w:szCs w:val="32"/>
        </w:rPr>
        <w:t>，通过建设多层次、全覆盖的综合立体交通网络体系，将乐清建设成为交通基础设施覆盖更广、功能更完善、体系更健全、交通智能技术广泛应用、绿色安全水平全面提升、交通出行品质明显提高、社会物流成本大幅下降、开放畅达高效领先的温州北翼现代综合交通枢纽。</w:t>
      </w:r>
    </w:p>
    <w:p>
      <w:pPr>
        <w:spacing w:line="600" w:lineRule="exact"/>
        <w:ind w:firstLine="643" w:firstLineChars="200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（二）思路和举措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规划重点突出“轨道上的乐清”、“7222高快路网格局”、“乐清湾多式联运枢纽港”，从轨道、公路、港航、站场、航空、绿道、综合供能等方面提出具体的基础设施规划建议以及相应项目，弥补问题短板，构建高质量综合交通立体网络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一、基本建成外快内畅的现代综合交通网络。深度融入温州都市区一体化交通网络，并提升乐清市内部组团间的快速化联系，争取实现“20-30-60-90”四个交通圈，即20分钟通行乐清市内四大组团，30分钟到温州主城区，60分钟到达杭州，90分钟到达上海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、初步形成多层次的轨道交通网络体系。杭温高铁乐清连接线建设取得成效，甬台温福高铁（沿海高铁）建设并引入乐清站，乐清融入“全省1小时交通圈”。温州市域铁路S2线一期工程乐清段建成运营，优化温州城市轨道M3线线位方案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、加速形成公路“7222”的对外交通体系。建成由高速公路、国道、省道和市域快速路构成的乐清“7222”的对外交通体系。“7”条高速公路即甬台温高速、乐永青高速、甬台温高速复线、温州绕城高速北线、甬台温高速西复线、杭绍台高速南延（乐清段）工程、温岭至永嘉高速，“2”条普通国道即104国道、228国道，“2”条普通省道即324省道、325省道，“2”条市域快速路，温乐快速路、江北快速路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四、深化乐清湾港区“公铁水联运”枢纽港地位。码头泊位和进港航道建设持续推进，加快通用作业区（C区）一期工程建设，规划A区二期工程、C区二期工程建设，升级绿色港口、智慧港口建设，提升港口综合能级。完善港口集疏运体系，逐步成为浙南闽北赣东地区“水公铁联运”重要枢纽港和商贸物流集散中心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五、升级客货运枢纽站场体系。乐清动车站枢纽建设成为零距离换乘、一体化服务的综合客运枢纽。乐清、乐清东、雁荡三个动车站的城市快速路建设以及公共交通、旅游交通换乘体系实现对接。推进乐清湾港区保税物流中心（B型）建设，初步形成构建层级合理的物流枢纽体系。</w:t>
      </w:r>
    </w:p>
    <w:p>
      <w:pPr>
        <w:spacing w:line="600" w:lineRule="exact"/>
        <w:ind w:firstLine="643" w:firstLineChars="200"/>
        <w:rPr>
          <w:rFonts w:ascii="仿宋_GB2312" w:hAns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(三）投资规划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本次“十四五”综合交通规划项目129个，累计投资516</w:t>
      </w:r>
      <w:r>
        <w:rPr>
          <w:rFonts w:hint="eastAsia" w:ascii="仿宋_GB2312" w:hAnsi="黑体" w:eastAsia="仿宋_GB2312"/>
          <w:sz w:val="32"/>
          <w:szCs w:val="32"/>
        </w:rPr>
        <w:t>.7</w:t>
      </w:r>
      <w:r>
        <w:rPr>
          <w:rFonts w:ascii="仿宋_GB2312" w:hAnsi="黑体" w:eastAsia="仿宋_GB2312"/>
          <w:sz w:val="32"/>
          <w:szCs w:val="32"/>
        </w:rPr>
        <w:t>亿元</w:t>
      </w:r>
      <w:r>
        <w:rPr>
          <w:rFonts w:hint="eastAsia" w:ascii="仿宋_GB2312" w:hAnsi="黑体" w:eastAsia="仿宋_GB2312"/>
          <w:sz w:val="32"/>
          <w:szCs w:val="32"/>
        </w:rPr>
        <w:t>（详见文本附表）</w:t>
      </w:r>
      <w:r>
        <w:rPr>
          <w:rFonts w:ascii="仿宋_GB2312" w:hAnsi="黑体" w:eastAsia="仿宋_GB2312"/>
          <w:sz w:val="32"/>
          <w:szCs w:val="32"/>
        </w:rPr>
        <w:t>。其中，铁路项目4个</w:t>
      </w:r>
      <w:r>
        <w:rPr>
          <w:rFonts w:hint="eastAsia" w:ascii="仿宋_GB2312" w:hAnsi="黑体" w:eastAsia="仿宋_GB2312"/>
          <w:sz w:val="32"/>
          <w:szCs w:val="32"/>
        </w:rPr>
        <w:t>，投资66亿元；</w:t>
      </w:r>
      <w:r>
        <w:rPr>
          <w:rFonts w:ascii="仿宋_GB2312" w:hAnsi="黑体" w:eastAsia="仿宋_GB2312"/>
          <w:sz w:val="32"/>
          <w:szCs w:val="32"/>
        </w:rPr>
        <w:t>高速项目9个，</w:t>
      </w:r>
      <w:r>
        <w:rPr>
          <w:rFonts w:hint="eastAsia" w:ascii="仿宋_GB2312" w:hAnsi="黑体" w:eastAsia="仿宋_GB2312"/>
          <w:sz w:val="32"/>
          <w:szCs w:val="32"/>
        </w:rPr>
        <w:t>投资96.28亿元；</w:t>
      </w:r>
      <w:r>
        <w:rPr>
          <w:rFonts w:ascii="仿宋_GB2312" w:hAnsi="黑体" w:eastAsia="仿宋_GB2312"/>
          <w:sz w:val="32"/>
          <w:szCs w:val="32"/>
        </w:rPr>
        <w:t>国省道及快速路11个，</w:t>
      </w:r>
      <w:r>
        <w:rPr>
          <w:rFonts w:hint="eastAsia" w:ascii="仿宋_GB2312" w:hAnsi="黑体" w:eastAsia="仿宋_GB2312"/>
          <w:sz w:val="32"/>
          <w:szCs w:val="32"/>
        </w:rPr>
        <w:t>投资</w:t>
      </w:r>
      <w:r>
        <w:rPr>
          <w:rFonts w:ascii="仿宋" w:hAnsi="仿宋" w:eastAsia="仿宋" w:cs="微软雅黑"/>
          <w:sz w:val="32"/>
          <w:szCs w:val="32"/>
          <w:lang w:val="zh-CN"/>
        </w:rPr>
        <w:t>113.39</w:t>
      </w:r>
      <w:r>
        <w:rPr>
          <w:rFonts w:hint="eastAsia" w:ascii="仿宋" w:hAnsi="仿宋" w:eastAsia="仿宋" w:cs="微软雅黑"/>
          <w:sz w:val="32"/>
          <w:szCs w:val="32"/>
          <w:lang w:val="zh-CN"/>
        </w:rPr>
        <w:t>亿元；</w:t>
      </w:r>
      <w:r>
        <w:rPr>
          <w:rFonts w:ascii="仿宋_GB2312" w:hAnsi="黑体" w:eastAsia="仿宋_GB2312"/>
          <w:sz w:val="32"/>
          <w:szCs w:val="32"/>
        </w:rPr>
        <w:t>县乡道35个，</w:t>
      </w:r>
      <w:r>
        <w:rPr>
          <w:rFonts w:hint="eastAsia" w:ascii="仿宋_GB2312" w:hAnsi="黑体" w:eastAsia="仿宋_GB2312"/>
          <w:sz w:val="32"/>
          <w:szCs w:val="32"/>
        </w:rPr>
        <w:t>投资</w:t>
      </w:r>
      <w:r>
        <w:rPr>
          <w:rFonts w:ascii="仿宋" w:hAnsi="仿宋" w:eastAsia="仿宋" w:cs="微软雅黑"/>
          <w:sz w:val="32"/>
          <w:szCs w:val="32"/>
          <w:lang w:val="zh-CN"/>
        </w:rPr>
        <w:t>57.65</w:t>
      </w:r>
      <w:r>
        <w:rPr>
          <w:rFonts w:hint="eastAsia" w:ascii="仿宋" w:hAnsi="仿宋" w:eastAsia="仿宋" w:cs="微软雅黑"/>
          <w:sz w:val="32"/>
          <w:szCs w:val="32"/>
          <w:lang w:val="zh-CN"/>
        </w:rPr>
        <w:t>亿元；</w:t>
      </w:r>
      <w:r>
        <w:rPr>
          <w:rFonts w:ascii="仿宋_GB2312" w:hAnsi="黑体" w:eastAsia="仿宋_GB2312"/>
          <w:sz w:val="32"/>
          <w:szCs w:val="32"/>
        </w:rPr>
        <w:t>港口航道项目9个，</w:t>
      </w:r>
      <w:r>
        <w:rPr>
          <w:rFonts w:hint="eastAsia" w:ascii="仿宋_GB2312" w:hAnsi="黑体" w:eastAsia="仿宋_GB2312"/>
          <w:sz w:val="32"/>
          <w:szCs w:val="32"/>
        </w:rPr>
        <w:t>投资</w:t>
      </w:r>
      <w:r>
        <w:rPr>
          <w:rFonts w:ascii="仿宋" w:hAnsi="仿宋" w:eastAsia="仿宋" w:cs="微软雅黑"/>
          <w:sz w:val="32"/>
          <w:szCs w:val="32"/>
          <w:lang w:val="zh-CN"/>
        </w:rPr>
        <w:t>22.63</w:t>
      </w:r>
      <w:r>
        <w:rPr>
          <w:rFonts w:hint="eastAsia" w:ascii="仿宋" w:hAnsi="仿宋" w:eastAsia="仿宋"/>
          <w:sz w:val="32"/>
          <w:szCs w:val="32"/>
        </w:rPr>
        <w:t>亿元；</w:t>
      </w:r>
      <w:r>
        <w:rPr>
          <w:rFonts w:ascii="仿宋_GB2312" w:hAnsi="黑体" w:eastAsia="仿宋_GB2312"/>
          <w:sz w:val="32"/>
          <w:szCs w:val="32"/>
        </w:rPr>
        <w:t>市政道路53个，</w:t>
      </w:r>
      <w:r>
        <w:rPr>
          <w:rFonts w:hint="eastAsia" w:ascii="仿宋_GB2312" w:hAnsi="黑体" w:eastAsia="仿宋_GB2312"/>
          <w:sz w:val="32"/>
          <w:szCs w:val="32"/>
        </w:rPr>
        <w:t>投资</w:t>
      </w:r>
      <w:r>
        <w:rPr>
          <w:rFonts w:ascii="仿宋" w:hAnsi="仿宋" w:eastAsia="仿宋" w:cs="微软雅黑"/>
          <w:sz w:val="32"/>
          <w:szCs w:val="32"/>
          <w:lang w:val="zh-CN"/>
        </w:rPr>
        <w:t>93.29</w:t>
      </w:r>
      <w:r>
        <w:rPr>
          <w:rFonts w:hint="eastAsia" w:ascii="仿宋" w:hAnsi="仿宋" w:eastAsia="仿宋" w:cs="微软雅黑"/>
          <w:sz w:val="32"/>
          <w:szCs w:val="32"/>
          <w:lang w:val="zh-CN"/>
        </w:rPr>
        <w:t>亿元；</w:t>
      </w:r>
      <w:r>
        <w:rPr>
          <w:rFonts w:ascii="仿宋_GB2312" w:hAnsi="黑体" w:eastAsia="仿宋_GB2312"/>
          <w:sz w:val="32"/>
          <w:szCs w:val="32"/>
        </w:rPr>
        <w:t>经贸物流项目8个</w:t>
      </w:r>
      <w:r>
        <w:rPr>
          <w:rFonts w:hint="eastAsia" w:ascii="仿宋_GB2312" w:hAnsi="黑体" w:eastAsia="仿宋_GB2312"/>
          <w:sz w:val="32"/>
          <w:szCs w:val="32"/>
        </w:rPr>
        <w:t>，投资</w:t>
      </w:r>
      <w:r>
        <w:rPr>
          <w:rFonts w:ascii="仿宋" w:hAnsi="仿宋" w:eastAsia="仿宋" w:cs="微软雅黑"/>
          <w:sz w:val="32"/>
          <w:szCs w:val="32"/>
          <w:lang w:val="zh-CN"/>
        </w:rPr>
        <w:t>57.96</w:t>
      </w:r>
      <w:r>
        <w:rPr>
          <w:rFonts w:hint="eastAsia" w:ascii="仿宋" w:hAnsi="仿宋" w:eastAsia="仿宋"/>
          <w:sz w:val="32"/>
          <w:szCs w:val="32"/>
        </w:rPr>
        <w:t>亿元</w:t>
      </w:r>
      <w:r>
        <w:rPr>
          <w:rFonts w:ascii="仿宋_GB2312" w:hAnsi="黑体" w:eastAsia="仿宋_GB2312"/>
          <w:sz w:val="32"/>
          <w:szCs w:val="32"/>
        </w:rPr>
        <w:t>。</w:t>
      </w:r>
      <w:r>
        <w:rPr>
          <w:rFonts w:hint="eastAsia" w:ascii="仿宋" w:hAnsi="仿宋" w:eastAsia="仿宋" w:cs="微软雅黑"/>
          <w:sz w:val="32"/>
          <w:szCs w:val="32"/>
          <w:lang w:val="zh-CN"/>
        </w:rPr>
        <w:t>实施类项目合计投资</w:t>
      </w:r>
      <w:r>
        <w:rPr>
          <w:rFonts w:ascii="仿宋" w:hAnsi="仿宋" w:eastAsia="仿宋" w:cs="微软雅黑"/>
          <w:sz w:val="32"/>
          <w:szCs w:val="32"/>
          <w:lang w:val="zh-CN"/>
        </w:rPr>
        <w:t>510.47</w:t>
      </w:r>
      <w:r>
        <w:rPr>
          <w:rFonts w:hint="eastAsia" w:ascii="仿宋" w:hAnsi="仿宋" w:eastAsia="仿宋" w:cs="微软雅黑"/>
          <w:sz w:val="32"/>
          <w:szCs w:val="32"/>
          <w:lang w:val="zh-CN"/>
        </w:rPr>
        <w:t>亿元，预备类项目合计投资</w:t>
      </w:r>
      <w:r>
        <w:rPr>
          <w:rFonts w:ascii="仿宋" w:hAnsi="仿宋" w:eastAsia="仿宋" w:cs="微软雅黑"/>
          <w:sz w:val="32"/>
          <w:szCs w:val="32"/>
          <w:lang w:val="zh-CN"/>
        </w:rPr>
        <w:t>6.23</w:t>
      </w:r>
      <w:r>
        <w:rPr>
          <w:rFonts w:hint="eastAsia" w:ascii="仿宋" w:hAnsi="仿宋" w:eastAsia="仿宋" w:cs="微软雅黑"/>
          <w:sz w:val="32"/>
          <w:szCs w:val="32"/>
          <w:lang w:val="zh-CN"/>
        </w:rPr>
        <w:t>亿元。</w:t>
      </w:r>
    </w:p>
    <w:p>
      <w:pPr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8B1908"/>
    <w:multiLevelType w:val="singleLevel"/>
    <w:tmpl w:val="878B190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3D75D28"/>
    <w:multiLevelType w:val="multilevel"/>
    <w:tmpl w:val="43D75D28"/>
    <w:lvl w:ilvl="0" w:tentative="0">
      <w:start w:val="1"/>
      <w:numFmt w:val="japaneseCounting"/>
      <w:lvlText w:val="%1、"/>
      <w:lvlJc w:val="left"/>
      <w:pPr>
        <w:tabs>
          <w:tab w:val="left" w:pos="1260"/>
        </w:tabs>
        <w:ind w:left="12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C50552"/>
    <w:rsid w:val="001E6503"/>
    <w:rsid w:val="0021708A"/>
    <w:rsid w:val="00350D9B"/>
    <w:rsid w:val="003B5799"/>
    <w:rsid w:val="00512414"/>
    <w:rsid w:val="005E23D4"/>
    <w:rsid w:val="00735A9F"/>
    <w:rsid w:val="007F7297"/>
    <w:rsid w:val="00884FFF"/>
    <w:rsid w:val="00915D01"/>
    <w:rsid w:val="00B9084D"/>
    <w:rsid w:val="00CD3956"/>
    <w:rsid w:val="00D8105C"/>
    <w:rsid w:val="00DA77EE"/>
    <w:rsid w:val="00E5346B"/>
    <w:rsid w:val="00EB10D9"/>
    <w:rsid w:val="0285786E"/>
    <w:rsid w:val="07011D45"/>
    <w:rsid w:val="07667CA1"/>
    <w:rsid w:val="09655469"/>
    <w:rsid w:val="122C467C"/>
    <w:rsid w:val="146F02D5"/>
    <w:rsid w:val="176D1866"/>
    <w:rsid w:val="227E7DD5"/>
    <w:rsid w:val="270A0A53"/>
    <w:rsid w:val="29B12812"/>
    <w:rsid w:val="2F3B25E7"/>
    <w:rsid w:val="32C50552"/>
    <w:rsid w:val="35335271"/>
    <w:rsid w:val="3DB37CD7"/>
    <w:rsid w:val="48E42340"/>
    <w:rsid w:val="4F371151"/>
    <w:rsid w:val="504E002D"/>
    <w:rsid w:val="51530D79"/>
    <w:rsid w:val="55FF022F"/>
    <w:rsid w:val="59067724"/>
    <w:rsid w:val="59B51034"/>
    <w:rsid w:val="59E1322C"/>
    <w:rsid w:val="60664036"/>
    <w:rsid w:val="61846322"/>
    <w:rsid w:val="62917014"/>
    <w:rsid w:val="6D535020"/>
    <w:rsid w:val="7A515206"/>
    <w:rsid w:val="7A911E4F"/>
    <w:rsid w:val="7BA92A87"/>
    <w:rsid w:val="7C6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widowControl/>
      <w:tabs>
        <w:tab w:val="left" w:pos="9180"/>
      </w:tabs>
      <w:autoSpaceDE w:val="0"/>
      <w:autoSpaceDN w:val="0"/>
      <w:spacing w:before="260" w:after="260" w:line="415" w:lineRule="auto"/>
      <w:ind w:firstLine="720" w:firstLineChars="257"/>
      <w:textAlignment w:val="bottom"/>
      <w:outlineLvl w:val="1"/>
    </w:pPr>
    <w:rPr>
      <w:rFonts w:ascii="Arial" w:hAnsi="Arial" w:eastAsia="黑体" w:cs="Arial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99"/>
    <w:pPr>
      <w:spacing w:after="120"/>
    </w:pPr>
  </w:style>
  <w:style w:type="paragraph" w:styleId="5">
    <w:name w:val="annotation text"/>
    <w:basedOn w:val="1"/>
    <w:link w:val="18"/>
    <w:uiPriority w:val="0"/>
    <w:pPr>
      <w:jc w:val="left"/>
    </w:pPr>
  </w:style>
  <w:style w:type="paragraph" w:styleId="6">
    <w:name w:val="Balloon Text"/>
    <w:basedOn w:val="1"/>
    <w:link w:val="20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19"/>
    <w:semiHidden/>
    <w:unhideWhenUsed/>
    <w:qFormat/>
    <w:uiPriority w:val="0"/>
    <w:rPr>
      <w:b/>
      <w:bCs/>
    </w:rPr>
  </w:style>
  <w:style w:type="character" w:styleId="12">
    <w:name w:val="annotation reference"/>
    <w:basedOn w:val="11"/>
    <w:uiPriority w:val="0"/>
    <w:rPr>
      <w:sz w:val="21"/>
      <w:szCs w:val="21"/>
    </w:rPr>
  </w:style>
  <w:style w:type="paragraph" w:customStyle="1" w:styleId="13">
    <w:name w:val="封皮1"/>
    <w:basedOn w:val="4"/>
    <w:qFormat/>
    <w:uiPriority w:val="0"/>
    <w:pPr>
      <w:spacing w:before="156" w:after="156"/>
      <w:ind w:firstLine="0" w:firstLineChars="0"/>
    </w:pPr>
    <w:rPr>
      <w:sz w:val="52"/>
      <w:szCs w:val="52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1"/>
    <w:link w:val="7"/>
    <w:qFormat/>
    <w:uiPriority w:val="0"/>
    <w:rPr>
      <w:kern w:val="2"/>
      <w:sz w:val="18"/>
      <w:szCs w:val="18"/>
    </w:rPr>
  </w:style>
  <w:style w:type="paragraph" w:customStyle="1" w:styleId="1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批注文字 Char"/>
    <w:basedOn w:val="11"/>
    <w:link w:val="5"/>
    <w:qFormat/>
    <w:uiPriority w:val="0"/>
    <w:rPr>
      <w:kern w:val="2"/>
      <w:sz w:val="21"/>
      <w:szCs w:val="24"/>
    </w:rPr>
  </w:style>
  <w:style w:type="character" w:customStyle="1" w:styleId="19">
    <w:name w:val="批注主题 Char"/>
    <w:basedOn w:val="18"/>
    <w:link w:val="9"/>
    <w:semiHidden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框文本 Char"/>
    <w:basedOn w:val="11"/>
    <w:link w:val="6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3CDD1D-5DC7-4DD0-8900-527727664A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5</Pages>
  <Words>356</Words>
  <Characters>2030</Characters>
  <Lines>16</Lines>
  <Paragraphs>4</Paragraphs>
  <TotalTime>0</TotalTime>
  <ScaleCrop>false</ScaleCrop>
  <LinksUpToDate>false</LinksUpToDate>
  <CharactersWithSpaces>2382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2021-11-08T03:23:00Z</dcterms:created>
  <dc:creator>南极熊</dc:creator>
  <cp:lastModifiedBy>Administrator</cp:lastModifiedBy>
  <dcterms:modified xsi:type="dcterms:W3CDTF">2021-11-17T02:28:19Z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E5E3B9E5B7B04CCC981E0BEACFC4089B</vt:lpwstr>
  </property>
</Properties>
</file>