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附件</w:t>
      </w:r>
      <w:r>
        <w:rPr>
          <w:rFonts w:ascii="黑体" w:hAnsi="Times New Roman" w:eastAsia="黑体"/>
          <w:color w:val="000000"/>
          <w:sz w:val="32"/>
          <w:szCs w:val="32"/>
        </w:rPr>
        <w:t>1</w:t>
      </w:r>
    </w:p>
    <w:p>
      <w:pPr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ascii="方正小标宋简体" w:hAnsi="Times New Roman" w:eastAsia="方正小标宋简体"/>
          <w:color w:val="000000"/>
          <w:sz w:val="36"/>
          <w:szCs w:val="36"/>
        </w:rPr>
        <w:t>2018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年之江汇教育广场优秀教学空间评价指标</w:t>
      </w: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750"/>
        <w:gridCol w:w="4255"/>
        <w:gridCol w:w="240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Times New Roman" w:eastAsia="黑体"/>
                <w:color w:val="00000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sz w:val="24"/>
              </w:rPr>
              <w:t>评价指标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Times New Roman" w:eastAsia="黑体"/>
                <w:color w:val="00000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sz w:val="24"/>
              </w:rPr>
              <w:t>评价指标说明</w:t>
            </w:r>
          </w:p>
        </w:tc>
        <w:tc>
          <w:tcPr>
            <w:tcW w:w="240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Times New Roman" w:eastAsia="黑体"/>
                <w:color w:val="00000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sz w:val="24"/>
              </w:rPr>
              <w:t>分值说明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Times New Roman" w:eastAsia="黑体"/>
                <w:color w:val="00000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空间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建设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（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30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分）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精品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资源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围绕空间主题，原创建设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门微课程，微课视频数量不少于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个；要求微课资源在“展示空间”以“自定义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资源模块”或“视频模块”插件形式呈现。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“传播数”指在资源的生命周期内，被“传播”的用户数。“传播”操作包含用户对资源进行下载、收藏、分享、评论、登录后浏览等操作，同一用户所有操作只记一次，不重复计数。</w:t>
            </w:r>
          </w:p>
        </w:tc>
        <w:tc>
          <w:tcPr>
            <w:tcW w:w="240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微课数量达到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个及以上，得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分。每个微课传播数达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及以上，每个再得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采用第三方链接在“展示空间”展示播放的不给分。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专家评分。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资源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共享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空间资源体系化：在网盘中自建上传或从平台中收藏引用资源成体系公开共享，资源内容特色鲜明、切口小，与空间主题强相关；资源目录和资源命名有规则，排列有序。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需要将空间网盘资源数量、资源原创性和资源整理等情况说明在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web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空间“资源中心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资源共享说明”中上传。</w:t>
            </w:r>
          </w:p>
        </w:tc>
        <w:tc>
          <w:tcPr>
            <w:tcW w:w="240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条以下不给分；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条以上，由专家评分。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资源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报送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报送原创优秀资源经省级审核通过的数量。报名后统计。</w:t>
            </w:r>
          </w:p>
        </w:tc>
        <w:tc>
          <w:tcPr>
            <w:tcW w:w="240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每个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分，上限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分。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教学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应用（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50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分）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课堂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教学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使用人人通空间授课端授课有效天数。（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天内登录移动端授课并使用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分钟以上为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个有效天数）。报名后统计。</w:t>
            </w:r>
          </w:p>
        </w:tc>
        <w:tc>
          <w:tcPr>
            <w:tcW w:w="240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每天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0.5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分，上限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分。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课后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辅导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教师布置、批改作业。报名后统计。</w:t>
            </w:r>
          </w:p>
        </w:tc>
        <w:tc>
          <w:tcPr>
            <w:tcW w:w="240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每次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0.5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分，上限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分。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师生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互动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在班级圈、消息收发中开展有效的师生互动或家校互动。报名后统计。</w:t>
            </w:r>
          </w:p>
        </w:tc>
        <w:tc>
          <w:tcPr>
            <w:tcW w:w="240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每次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0.5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分，上限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分。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活动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开展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开展教学活动（专题教育社区活动、班级活动等），每个活动学生参与人数至少达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人以上。报名后统计。</w:t>
            </w:r>
          </w:p>
        </w:tc>
        <w:tc>
          <w:tcPr>
            <w:tcW w:w="240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每个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分，上限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分。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移动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占比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年度移动端使用经验值与年度经验值的比值。</w:t>
            </w:r>
          </w:p>
        </w:tc>
        <w:tc>
          <w:tcPr>
            <w:tcW w:w="240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每增加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10%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得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分，上限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分。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成果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实效（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分）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年度经验值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浙江教育资源公共服务平台个人年度经验值。</w:t>
            </w:r>
          </w:p>
        </w:tc>
        <w:tc>
          <w:tcPr>
            <w:tcW w:w="240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按排名给分。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应用典型案例</w:t>
            </w:r>
          </w:p>
        </w:tc>
        <w:tc>
          <w:tcPr>
            <w:tcW w:w="4255" w:type="dxa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从空间在课程资源开发、师生教学互动、家校互动等角度提炼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个空间移动端的应用典型案例，重点要介绍应用场景、解决的问题、取得的效果，提炼空间移动端教学应用的典型案例，字数不少于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800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字。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典型案例材料在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web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空间“个人中心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其他设置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应用案例”中上传。</w:t>
            </w:r>
          </w:p>
        </w:tc>
        <w:tc>
          <w:tcPr>
            <w:tcW w:w="240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专家评分。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应用数字故事</w:t>
            </w:r>
          </w:p>
        </w:tc>
        <w:tc>
          <w:tcPr>
            <w:tcW w:w="4255" w:type="dxa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根据应用典型案例在“展示空间”以“自定义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数字故事模块”插件形式呈现。</w:t>
            </w:r>
          </w:p>
        </w:tc>
        <w:tc>
          <w:tcPr>
            <w:tcW w:w="240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专家评分。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Cs w:val="21"/>
              </w:rPr>
              <w:t>总计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</w:t>
            </w:r>
          </w:p>
        </w:tc>
      </w:tr>
    </w:tbl>
    <w:p>
      <w:pPr>
        <w:adjustRightInd w:val="0"/>
        <w:snapToGrid w:val="0"/>
        <w:spacing w:before="156" w:beforeLines="50"/>
        <w:ind w:firstLine="640" w:firstLineChars="200"/>
        <w:jc w:val="left"/>
        <w:rPr>
          <w:rFonts w:ascii="黑体" w:hAnsi="Times New Roman" w:eastAsia="黑体"/>
          <w:color w:val="00000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MV Boli"/>
    <w:panose1 w:val="020F0302020204030204"/>
    <w:charset w:val="00"/>
    <w:family w:val="swiss"/>
    <w:pitch w:val="default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DejaVu Sans">
    <w:altName w:val="Arial"/>
    <w:panose1 w:val="020B0603030804020204"/>
    <w:charset w:val="00"/>
    <w:family w:val="swiss"/>
    <w:pitch w:val="default"/>
    <w:sig w:usb0="00000000" w:usb1="00000000" w:usb2="0A246029" w:usb3="00000000" w:csb0="000001F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entury Gothic">
    <w:altName w:val="Manjiro'sHw21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anjiro'sHw21">
    <w:panose1 w:val="020B0600000000000000"/>
    <w:charset w:val="00"/>
    <w:family w:val="auto"/>
    <w:pitch w:val="default"/>
    <w:sig w:usb0="00000011" w:usb1="00000000" w:usb2="00000000" w:usb3="00000000" w:csb0="4000009F" w:csb1="DFD70000"/>
  </w:font>
  <w:font w:name="迷你简黛玉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54F2"/>
    <w:multiLevelType w:val="multilevel"/>
    <w:tmpl w:val="5AC354F2"/>
    <w:lvl w:ilvl="0" w:tentative="0">
      <w:start w:val="5"/>
      <w:numFmt w:val="decimal"/>
      <w:pStyle w:val="8"/>
      <w:lvlText w:val="%1."/>
      <w:lvlJc w:val="left"/>
      <w:pPr>
        <w:ind w:left="425" w:hanging="425"/>
      </w:pPr>
      <w:rPr>
        <w:rFonts w:hint="default" w:ascii="宋体" w:hAnsi="宋体" w:eastAsia="宋体" w:cs="宋体"/>
        <w:sz w:val="36"/>
      </w:rPr>
    </w:lvl>
    <w:lvl w:ilvl="1" w:tentative="0">
      <w:start w:val="1"/>
      <w:numFmt w:val="decimal"/>
      <w:pStyle w:val="7"/>
      <w:lvlText w:val="%1.%2."/>
      <w:lvlJc w:val="left"/>
      <w:pPr>
        <w:ind w:left="567" w:hanging="567"/>
      </w:pPr>
      <w:rPr>
        <w:rFonts w:hint="default"/>
        <w:sz w:val="30"/>
      </w:rPr>
    </w:lvl>
    <w:lvl w:ilvl="2" w:tentative="0">
      <w:start w:val="1"/>
      <w:numFmt w:val="decimal"/>
      <w:pStyle w:val="9"/>
      <w:lvlText w:val="%1.%2.%3."/>
      <w:lvlJc w:val="left"/>
      <w:pPr>
        <w:ind w:left="709" w:hanging="709"/>
      </w:pPr>
      <w:rPr>
        <w:rFonts w:hint="eastAsia"/>
        <w:sz w:val="28"/>
      </w:rPr>
    </w:lvl>
    <w:lvl w:ilvl="3" w:tentative="0">
      <w:start w:val="1"/>
      <w:numFmt w:val="decimal"/>
      <w:pStyle w:val="10"/>
      <w:lvlText w:val="%1.%2.%3.%4."/>
      <w:lvlJc w:val="left"/>
      <w:pPr>
        <w:ind w:left="851" w:hanging="851"/>
      </w:pPr>
      <w:rPr>
        <w:rFonts w:hint="eastAsia"/>
        <w:sz w:val="24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355779"/>
    <w:rsid w:val="2E016924"/>
    <w:rsid w:val="3A47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  <w:rPr>
      <w:rFonts w:ascii="仿宋_GB2312" w:hAnsi="仿宋_GB2312" w:eastAsia="仿宋_GB2312" w:cs="仿宋_GB2312"/>
      <w:kern w:val="0"/>
      <w:sz w:val="28"/>
      <w:szCs w:val="36"/>
      <w:lang w:eastAsia="en-US" w:bidi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uiPriority w:val="0"/>
    <w:rPr>
      <w:rFonts w:cs="Times New Roman"/>
    </w:rPr>
  </w:style>
  <w:style w:type="paragraph" w:customStyle="1" w:styleId="7">
    <w:name w:val="2级标题"/>
    <w:basedOn w:val="1"/>
    <w:qFormat/>
    <w:uiPriority w:val="0"/>
    <w:pPr>
      <w:keepLines/>
      <w:numPr>
        <w:ilvl w:val="1"/>
        <w:numId w:val="1"/>
      </w:numPr>
      <w:spacing w:before="240" w:after="120" w:line="360" w:lineRule="auto"/>
      <w:ind w:firstLineChars="0"/>
      <w:contextualSpacing/>
      <w:jc w:val="left"/>
      <w:outlineLvl w:val="1"/>
    </w:pPr>
    <w:rPr>
      <w:rFonts w:ascii="仿宋_GB2312" w:hAnsi="仿宋_GB2312" w:eastAsia="仿宋_GB2312" w:cs="仿宋_GB2312"/>
      <w:b/>
      <w:kern w:val="0"/>
      <w:sz w:val="28"/>
      <w:szCs w:val="36"/>
      <w:lang w:eastAsia="en-US" w:bidi="en-US"/>
    </w:rPr>
  </w:style>
  <w:style w:type="paragraph" w:customStyle="1" w:styleId="8">
    <w:name w:val="1级标题"/>
    <w:basedOn w:val="1"/>
    <w:uiPriority w:val="0"/>
    <w:pPr>
      <w:numPr>
        <w:ilvl w:val="0"/>
        <w:numId w:val="1"/>
      </w:numPr>
      <w:ind w:left="425" w:hanging="425"/>
    </w:pPr>
    <w:rPr>
      <w:rFonts w:ascii="仿宋_GB2312" w:hAnsi="仿宋_GB2312" w:eastAsia="仿宋_GB2312" w:cs="仿宋_GB2312"/>
      <w:kern w:val="0"/>
      <w:sz w:val="28"/>
      <w:szCs w:val="36"/>
      <w:lang w:eastAsia="en-US" w:bidi="en-US"/>
    </w:rPr>
  </w:style>
  <w:style w:type="paragraph" w:customStyle="1" w:styleId="9">
    <w:name w:val="3级标题"/>
    <w:basedOn w:val="1"/>
    <w:link w:val="11"/>
    <w:qFormat/>
    <w:uiPriority w:val="0"/>
    <w:pPr>
      <w:keepLines/>
      <w:numPr>
        <w:ilvl w:val="2"/>
        <w:numId w:val="1"/>
      </w:numPr>
      <w:spacing w:before="120" w:after="120" w:line="360" w:lineRule="auto"/>
      <w:ind w:firstLineChars="0"/>
      <w:contextualSpacing/>
      <w:jc w:val="left"/>
      <w:outlineLvl w:val="2"/>
    </w:pPr>
    <w:rPr>
      <w:rFonts w:ascii="仿宋_GB2312" w:hAnsi="仿宋_GB2312" w:eastAsia="仿宋_GB2312" w:cs="仿宋_GB2312"/>
      <w:kern w:val="0"/>
      <w:sz w:val="28"/>
      <w:szCs w:val="36"/>
      <w:lang w:eastAsia="en-US" w:bidi="en-US"/>
    </w:rPr>
  </w:style>
  <w:style w:type="paragraph" w:customStyle="1" w:styleId="10">
    <w:name w:val="4级标题"/>
    <w:basedOn w:val="1"/>
    <w:uiPriority w:val="0"/>
    <w:pPr>
      <w:numPr>
        <w:ilvl w:val="3"/>
        <w:numId w:val="1"/>
      </w:numPr>
      <w:ind w:left="851" w:hanging="851"/>
    </w:pPr>
    <w:rPr>
      <w:rFonts w:ascii="仿宋_GB2312" w:hAnsi="仿宋_GB2312" w:eastAsia="仿宋_GB2312" w:cs="仿宋_GB2312"/>
      <w:kern w:val="0"/>
      <w:sz w:val="28"/>
      <w:szCs w:val="36"/>
      <w:lang w:eastAsia="en-US" w:bidi="en-US"/>
    </w:rPr>
  </w:style>
  <w:style w:type="character" w:customStyle="1" w:styleId="11">
    <w:name w:val="3级标题 Char"/>
    <w:link w:val="9"/>
    <w:uiPriority w:val="0"/>
    <w:rPr>
      <w:rFonts w:ascii="仿宋_GB2312" w:hAnsi="仿宋_GB2312" w:eastAsia="仿宋_GB2312" w:cs="仿宋_GB2312"/>
      <w:kern w:val="0"/>
      <w:sz w:val="28"/>
      <w:szCs w:val="36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chloe</cp:lastModifiedBy>
  <dcterms:modified xsi:type="dcterms:W3CDTF">2018-04-17T02:50:11Z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