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eastAsia="黑体"/>
          <w:b/>
          <w:bCs/>
          <w:color w:val="0000FF"/>
          <w:shd w:val="clear" w:color="auto" w:fill="auto"/>
        </w:rPr>
      </w:pPr>
      <w:r>
        <w:rPr>
          <w:rFonts w:hint="eastAsia" w:ascii="方正小标宋简体" w:hAnsi="方正小标宋简体" w:eastAsia="方正小标宋简体" w:cs="方正小标宋简体"/>
          <w:b/>
          <w:bCs/>
          <w:i w:val="0"/>
          <w:iCs w:val="0"/>
          <w:caps w:val="0"/>
          <w:color w:val="333333"/>
          <w:spacing w:val="0"/>
          <w:sz w:val="44"/>
          <w:szCs w:val="44"/>
          <w:shd w:val="clear" w:color="auto" w:fill="auto"/>
        </w:rPr>
        <w:t>乐清市翁垟街道办事处202</w:t>
      </w:r>
      <w:r>
        <w:rPr>
          <w:rFonts w:hint="eastAsia" w:ascii="方正小标宋简体" w:hAnsi="方正小标宋简体" w:eastAsia="方正小标宋简体" w:cs="方正小标宋简体"/>
          <w:b/>
          <w:bCs/>
          <w:i w:val="0"/>
          <w:iCs w:val="0"/>
          <w:caps w:val="0"/>
          <w:color w:val="333333"/>
          <w:spacing w:val="0"/>
          <w:sz w:val="44"/>
          <w:szCs w:val="44"/>
          <w:shd w:val="clear" w:color="auto" w:fill="auto"/>
          <w:lang w:val="en-US" w:eastAsia="zh-CN"/>
        </w:rPr>
        <w:t>3</w:t>
      </w:r>
      <w:r>
        <w:rPr>
          <w:rFonts w:hint="eastAsia" w:ascii="方正小标宋简体" w:hAnsi="方正小标宋简体" w:eastAsia="方正小标宋简体" w:cs="方正小标宋简体"/>
          <w:b/>
          <w:bCs/>
          <w:i w:val="0"/>
          <w:iCs w:val="0"/>
          <w:caps w:val="0"/>
          <w:color w:val="333333"/>
          <w:spacing w:val="0"/>
          <w:sz w:val="44"/>
          <w:szCs w:val="44"/>
          <w:shd w:val="clear" w:color="auto" w:fill="auto"/>
        </w:rPr>
        <w:t>年度政府信息公开工作年度报告</w:t>
      </w:r>
    </w:p>
    <w:p>
      <w:pPr>
        <w:ind w:firstLine="640" w:firstLineChars="200"/>
        <w:rPr>
          <w:rFonts w:hint="eastAsia"/>
        </w:rPr>
      </w:pPr>
      <w:r>
        <w:rPr>
          <w:rFonts w:hint="eastAsia"/>
        </w:rPr>
        <w:t>202</w:t>
      </w:r>
      <w:r>
        <w:rPr>
          <w:rFonts w:hint="eastAsia"/>
          <w:lang w:val="en-US" w:eastAsia="zh-CN"/>
        </w:rPr>
        <w:t>3</w:t>
      </w:r>
      <w:r>
        <w:rPr>
          <w:rFonts w:hint="eastAsia"/>
        </w:rPr>
        <w:t>年</w:t>
      </w:r>
      <w:r>
        <w:rPr>
          <w:rFonts w:hint="eastAsia"/>
          <w:lang w:eastAsia="zh-CN"/>
        </w:rPr>
        <w:t>，</w:t>
      </w:r>
      <w:r>
        <w:rPr>
          <w:rFonts w:hint="eastAsia"/>
          <w:lang w:val="en-US" w:eastAsia="zh-CN"/>
        </w:rPr>
        <w:t>翁垟街道办事处</w:t>
      </w:r>
      <w:r>
        <w:rPr>
          <w:rFonts w:hint="eastAsia"/>
        </w:rPr>
        <w:t>根据新修订</w:t>
      </w:r>
      <w:r>
        <w:rPr>
          <w:rFonts w:hint="eastAsia"/>
          <w:lang w:val="en-US" w:eastAsia="zh-CN"/>
        </w:rPr>
        <w:t>的</w:t>
      </w:r>
      <w:r>
        <w:rPr>
          <w:rFonts w:hint="eastAsia"/>
        </w:rPr>
        <w:t>《中华人民共和国政府信息公开条例》（以下简称《条例》）</w:t>
      </w:r>
      <w:r>
        <w:rPr>
          <w:rFonts w:hint="eastAsia"/>
          <w:lang w:val="en-US" w:eastAsia="zh-CN"/>
        </w:rPr>
        <w:t>和国办公开办函〔2021〕30号</w:t>
      </w:r>
      <w:r>
        <w:rPr>
          <w:rFonts w:hint="eastAsia"/>
        </w:rPr>
        <w:t>的要求，</w:t>
      </w:r>
      <w:r>
        <w:rPr>
          <w:szCs w:val="32"/>
        </w:rPr>
        <w:t>编制政府信息公开工作年度报告</w:t>
      </w:r>
      <w:r>
        <w:rPr>
          <w:rFonts w:hint="eastAsia"/>
          <w:lang w:eastAsia="zh-CN"/>
        </w:rPr>
        <w:t>，</w:t>
      </w:r>
      <w:r>
        <w:rPr>
          <w:rFonts w:hint="eastAsia"/>
        </w:rPr>
        <w:t>并向社会公布。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限自202</w:t>
      </w:r>
      <w:r>
        <w:rPr>
          <w:rFonts w:hint="eastAsia"/>
          <w:lang w:val="en-US" w:eastAsia="zh-CN"/>
        </w:rPr>
        <w:t>3</w:t>
      </w:r>
      <w:r>
        <w:rPr>
          <w:rFonts w:hint="eastAsia"/>
        </w:rPr>
        <w:t>年1月1日至202</w:t>
      </w:r>
      <w:r>
        <w:rPr>
          <w:rFonts w:hint="eastAsia"/>
          <w:lang w:val="en-US" w:eastAsia="zh-CN"/>
        </w:rPr>
        <w:t>3</w:t>
      </w:r>
      <w:r>
        <w:rPr>
          <w:rFonts w:hint="eastAsia"/>
        </w:rPr>
        <w:t>年12月31日止。报告的电子版可在乐清市政府门户网站（http://www.yueqing.gov.cn/）上下载。如对报告内容有疑问，请与翁垟街道办事处党政综合办公室联系（电话：0577-61810077）。</w:t>
      </w:r>
    </w:p>
    <w:p>
      <w:pPr>
        <w:numPr>
          <w:ilvl w:val="0"/>
          <w:numId w:val="1"/>
        </w:numPr>
        <w:ind w:firstLine="640" w:firstLineChars="200"/>
        <w:rPr>
          <w:rFonts w:hint="eastAsia"/>
          <w:lang w:val="en-US" w:eastAsia="zh-CN"/>
        </w:rPr>
      </w:pPr>
      <w:r>
        <w:rPr>
          <w:rFonts w:hint="eastAsia"/>
          <w:lang w:val="en-US" w:eastAsia="zh-CN"/>
        </w:rPr>
        <w:t>总体情况</w:t>
      </w:r>
    </w:p>
    <w:p>
      <w:pPr>
        <w:numPr>
          <w:ilvl w:val="0"/>
          <w:numId w:val="0"/>
        </w:numPr>
        <w:ind w:firstLine="640" w:firstLineChars="200"/>
        <w:rPr>
          <w:rFonts w:hint="default"/>
          <w:lang w:val="en-US" w:eastAsia="zh-CN"/>
        </w:rPr>
      </w:pPr>
      <w:r>
        <w:rPr>
          <w:rFonts w:hint="eastAsia" w:ascii="仿宋_GB2312" w:eastAsia="仿宋_GB2312"/>
          <w:sz w:val="32"/>
          <w:szCs w:val="32"/>
          <w:lang w:val="en-US" w:eastAsia="zh-CN"/>
        </w:rPr>
        <w:t>在</w:t>
      </w:r>
      <w:r>
        <w:rPr>
          <w:rFonts w:hint="eastAsia" w:ascii="仿宋_GB2312"/>
          <w:sz w:val="32"/>
          <w:szCs w:val="32"/>
          <w:lang w:val="en-US" w:eastAsia="zh-CN"/>
        </w:rPr>
        <w:t>2023年的</w:t>
      </w:r>
      <w:r>
        <w:rPr>
          <w:rFonts w:hint="eastAsia" w:ascii="仿宋_GB2312" w:eastAsia="仿宋_GB2312"/>
          <w:sz w:val="32"/>
          <w:szCs w:val="32"/>
          <w:lang w:val="en-US" w:eastAsia="zh-CN"/>
        </w:rPr>
        <w:t>政务公开工作中，我街道坚持以习近平新时代中国特色社会主义思想为指导，坚持以人民为中心的发展思想</w:t>
      </w:r>
      <w:r>
        <w:rPr>
          <w:rFonts w:hint="eastAsia" w:ascii="仿宋_GB2312"/>
          <w:sz w:val="32"/>
          <w:szCs w:val="32"/>
          <w:lang w:val="en-US" w:eastAsia="zh-CN"/>
        </w:rPr>
        <w:t>基础上</w:t>
      </w:r>
      <w:r>
        <w:rPr>
          <w:rFonts w:hint="eastAsia" w:ascii="仿宋_GB2312" w:eastAsia="仿宋_GB2312"/>
          <w:sz w:val="32"/>
          <w:szCs w:val="32"/>
          <w:lang w:val="en-US" w:eastAsia="zh-CN"/>
        </w:rPr>
        <w:t>，秉持</w:t>
      </w:r>
      <w:r>
        <w:rPr>
          <w:rFonts w:hint="eastAsia" w:ascii="仿宋_GB2312" w:eastAsia="仿宋_GB2312"/>
          <w:sz w:val="32"/>
          <w:szCs w:val="32"/>
        </w:rPr>
        <w:t>“公平、公开、公正、便民”</w:t>
      </w:r>
      <w:r>
        <w:rPr>
          <w:rFonts w:hint="eastAsia" w:ascii="仿宋_GB2312"/>
          <w:sz w:val="32"/>
          <w:szCs w:val="32"/>
          <w:lang w:val="en-US" w:eastAsia="zh-CN"/>
        </w:rPr>
        <w:t>的</w:t>
      </w:r>
      <w:r>
        <w:rPr>
          <w:rFonts w:hint="eastAsia" w:ascii="仿宋_GB2312" w:eastAsia="仿宋_GB2312"/>
          <w:sz w:val="32"/>
          <w:szCs w:val="32"/>
        </w:rPr>
        <w:t>原则</w:t>
      </w:r>
      <w:r>
        <w:rPr>
          <w:rFonts w:hint="eastAsia" w:ascii="仿宋_GB2312" w:eastAsia="仿宋_GB2312"/>
          <w:sz w:val="32"/>
          <w:szCs w:val="32"/>
          <w:lang w:eastAsia="zh-CN"/>
        </w:rPr>
        <w:t>，</w:t>
      </w:r>
      <w:r>
        <w:rPr>
          <w:rFonts w:hint="eastAsia" w:ascii="仿宋_GB2312" w:eastAsia="仿宋_GB2312"/>
          <w:sz w:val="32"/>
          <w:szCs w:val="32"/>
          <w:lang w:val="en-US" w:eastAsia="zh-CN"/>
        </w:rPr>
        <w:t>主动公开群众关心的政策文件、人事信息、财政信息等，确保信息公开工作准确、及时、高效。</w:t>
      </w:r>
    </w:p>
    <w:p>
      <w:pPr>
        <w:widowControl/>
        <w:shd w:val="clear" w:color="auto" w:fill="FFFFFF"/>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（一）主动公开情况</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w:t>
      </w:r>
      <w:r>
        <w:rPr>
          <w:rFonts w:hint="eastAsia" w:ascii="仿宋_GB2312"/>
          <w:sz w:val="32"/>
          <w:szCs w:val="32"/>
          <w:lang w:val="en-US" w:eastAsia="zh-CN"/>
        </w:rPr>
        <w:t>3</w:t>
      </w:r>
      <w:r>
        <w:rPr>
          <w:rFonts w:hint="eastAsia" w:ascii="仿宋_GB2312" w:eastAsia="仿宋_GB2312"/>
          <w:sz w:val="32"/>
          <w:szCs w:val="32"/>
        </w:rPr>
        <w:t>年，我街道公开的政府信息主要包括信息公开指南、机构</w:t>
      </w:r>
      <w:r>
        <w:rPr>
          <w:rFonts w:hint="eastAsia" w:ascii="仿宋_GB2312" w:eastAsia="仿宋_GB2312"/>
          <w:sz w:val="32"/>
          <w:szCs w:val="32"/>
          <w:lang w:val="en-US" w:eastAsia="zh-CN"/>
        </w:rPr>
        <w:t>设置</w:t>
      </w:r>
      <w:r>
        <w:rPr>
          <w:rFonts w:hint="eastAsia" w:ascii="仿宋_GB2312" w:eastAsia="仿宋_GB2312"/>
          <w:sz w:val="32"/>
          <w:szCs w:val="32"/>
        </w:rPr>
        <w:t>、</w:t>
      </w:r>
      <w:r>
        <w:rPr>
          <w:rFonts w:hint="eastAsia" w:ascii="仿宋_GB2312" w:eastAsia="仿宋_GB2312"/>
          <w:sz w:val="32"/>
          <w:szCs w:val="32"/>
          <w:lang w:val="en-US" w:eastAsia="zh-CN"/>
        </w:rPr>
        <w:t>政策文件</w:t>
      </w:r>
      <w:r>
        <w:rPr>
          <w:rFonts w:hint="eastAsia" w:ascii="仿宋_GB2312" w:eastAsia="仿宋_GB2312"/>
          <w:sz w:val="32"/>
          <w:szCs w:val="32"/>
        </w:rPr>
        <w:t>、</w:t>
      </w:r>
      <w:r>
        <w:rPr>
          <w:rFonts w:hint="eastAsia" w:ascii="仿宋_GB2312" w:eastAsia="仿宋_GB2312"/>
          <w:sz w:val="32"/>
          <w:szCs w:val="32"/>
          <w:lang w:val="en-US" w:eastAsia="zh-CN"/>
        </w:rPr>
        <w:t>人事信息</w:t>
      </w:r>
      <w:r>
        <w:rPr>
          <w:rFonts w:hint="eastAsia" w:ascii="仿宋_GB2312" w:eastAsia="仿宋_GB2312"/>
          <w:sz w:val="32"/>
          <w:szCs w:val="32"/>
        </w:rPr>
        <w:t>、</w:t>
      </w:r>
      <w:r>
        <w:rPr>
          <w:rFonts w:hint="eastAsia" w:ascii="仿宋_GB2312" w:eastAsia="仿宋_GB2312"/>
          <w:sz w:val="32"/>
          <w:szCs w:val="32"/>
          <w:lang w:val="en-US" w:eastAsia="zh-CN"/>
        </w:rPr>
        <w:t>规划计划、财政信息</w:t>
      </w:r>
      <w:r>
        <w:rPr>
          <w:rFonts w:hint="eastAsia" w:ascii="仿宋_GB2312"/>
          <w:sz w:val="32"/>
          <w:szCs w:val="32"/>
          <w:lang w:val="en-US" w:eastAsia="zh-CN"/>
        </w:rPr>
        <w:t>、审计信息、社会救助</w:t>
      </w:r>
      <w:r>
        <w:rPr>
          <w:rFonts w:hint="eastAsia" w:ascii="仿宋_GB2312" w:eastAsia="仿宋_GB2312"/>
          <w:sz w:val="32"/>
          <w:szCs w:val="32"/>
        </w:rPr>
        <w:t>等。</w:t>
      </w:r>
      <w:r>
        <w:rPr>
          <w:rFonts w:hint="eastAsia" w:ascii="仿宋_GB2312" w:eastAsia="仿宋_GB2312"/>
          <w:color w:val="auto"/>
          <w:sz w:val="32"/>
          <w:szCs w:val="32"/>
        </w:rPr>
        <w:t>今年共主动公开信息</w:t>
      </w:r>
      <w:r>
        <w:rPr>
          <w:rFonts w:hint="eastAsia" w:ascii="仿宋_GB2312"/>
          <w:color w:val="auto"/>
          <w:sz w:val="32"/>
          <w:szCs w:val="32"/>
          <w:lang w:val="en-US" w:eastAsia="zh-CN"/>
        </w:rPr>
        <w:t>38</w:t>
      </w:r>
      <w:r>
        <w:rPr>
          <w:rFonts w:hint="eastAsia" w:ascii="仿宋_GB2312" w:eastAsia="仿宋_GB2312"/>
          <w:sz w:val="32"/>
          <w:szCs w:val="32"/>
        </w:rPr>
        <w:t>条，</w:t>
      </w:r>
      <w:r>
        <w:rPr>
          <w:rFonts w:hint="eastAsia" w:ascii="仿宋_GB2312" w:eastAsia="仿宋_GB2312"/>
          <w:sz w:val="32"/>
          <w:szCs w:val="32"/>
          <w:lang w:val="en-US" w:eastAsia="zh-CN"/>
        </w:rPr>
        <w:t>其中机构设置20条（机构概况1条，领导信息17条，内设机构1条，联系方式1条），政策文件</w:t>
      </w:r>
      <w:r>
        <w:rPr>
          <w:rFonts w:hint="eastAsia" w:ascii="仿宋_GB2312"/>
          <w:sz w:val="32"/>
          <w:szCs w:val="32"/>
          <w:lang w:val="en-US" w:eastAsia="zh-CN"/>
        </w:rPr>
        <w:t>3</w:t>
      </w:r>
      <w:r>
        <w:rPr>
          <w:rFonts w:hint="eastAsia" w:ascii="仿宋_GB2312" w:eastAsia="仿宋_GB2312"/>
          <w:sz w:val="32"/>
          <w:szCs w:val="32"/>
          <w:lang w:val="en-US" w:eastAsia="zh-CN"/>
        </w:rPr>
        <w:t>条（部门文件</w:t>
      </w:r>
      <w:r>
        <w:rPr>
          <w:rFonts w:hint="eastAsia" w:ascii="仿宋_GB2312"/>
          <w:sz w:val="32"/>
          <w:szCs w:val="32"/>
          <w:lang w:val="en-US" w:eastAsia="zh-CN"/>
        </w:rPr>
        <w:t>2</w:t>
      </w:r>
      <w:r>
        <w:rPr>
          <w:rFonts w:hint="eastAsia" w:ascii="仿宋_GB2312" w:eastAsia="仿宋_GB2312"/>
          <w:sz w:val="32"/>
          <w:szCs w:val="32"/>
          <w:lang w:val="en-US" w:eastAsia="zh-CN"/>
        </w:rPr>
        <w:t>条，</w:t>
      </w:r>
      <w:r>
        <w:rPr>
          <w:rFonts w:hint="eastAsia" w:ascii="仿宋_GB2312"/>
          <w:sz w:val="32"/>
          <w:szCs w:val="32"/>
          <w:lang w:val="en-US" w:eastAsia="zh-CN"/>
        </w:rPr>
        <w:t>部门、乡镇（街道）规范性文件1条</w:t>
      </w:r>
      <w:r>
        <w:rPr>
          <w:rFonts w:hint="eastAsia" w:ascii="仿宋_GB2312" w:eastAsia="仿宋_GB2312"/>
          <w:sz w:val="32"/>
          <w:szCs w:val="32"/>
          <w:lang w:val="en-US" w:eastAsia="zh-CN"/>
        </w:rPr>
        <w:t>），人事信息</w:t>
      </w:r>
      <w:r>
        <w:rPr>
          <w:rFonts w:hint="eastAsia" w:ascii="仿宋_GB2312"/>
          <w:sz w:val="32"/>
          <w:szCs w:val="32"/>
          <w:lang w:val="en-US" w:eastAsia="zh-CN"/>
        </w:rPr>
        <w:t>3</w:t>
      </w:r>
      <w:r>
        <w:rPr>
          <w:rFonts w:hint="eastAsia" w:ascii="仿宋_GB2312" w:eastAsia="仿宋_GB2312"/>
          <w:sz w:val="32"/>
          <w:szCs w:val="32"/>
          <w:lang w:val="en-US" w:eastAsia="zh-CN"/>
        </w:rPr>
        <w:t>条，规划计划</w:t>
      </w:r>
      <w:r>
        <w:rPr>
          <w:rFonts w:hint="eastAsia" w:ascii="仿宋_GB2312"/>
          <w:sz w:val="32"/>
          <w:szCs w:val="32"/>
          <w:lang w:val="en-US" w:eastAsia="zh-CN"/>
        </w:rPr>
        <w:t>6</w:t>
      </w:r>
      <w:r>
        <w:rPr>
          <w:rFonts w:hint="eastAsia" w:ascii="仿宋_GB2312" w:eastAsia="仿宋_GB2312"/>
          <w:sz w:val="32"/>
          <w:szCs w:val="32"/>
          <w:lang w:val="en-US" w:eastAsia="zh-CN"/>
        </w:rPr>
        <w:t>条，财政信息2条</w:t>
      </w:r>
      <w:r>
        <w:rPr>
          <w:rFonts w:hint="eastAsia" w:ascii="仿宋_GB2312"/>
          <w:sz w:val="32"/>
          <w:szCs w:val="32"/>
          <w:lang w:val="en-US" w:eastAsia="zh-CN"/>
        </w:rPr>
        <w:t>，社会救助4条</w:t>
      </w:r>
      <w:r>
        <w:rPr>
          <w:rFonts w:hint="eastAsia" w:ascii="仿宋_GB2312" w:eastAsia="仿宋_GB2312"/>
          <w:sz w:val="32"/>
          <w:szCs w:val="32"/>
          <w:lang w:val="en-US" w:eastAsia="zh-CN"/>
        </w:rPr>
        <w:t>。</w:t>
      </w:r>
    </w:p>
    <w:p>
      <w:pPr>
        <w:ind w:firstLine="643" w:firstLineChars="200"/>
        <w:rPr>
          <w:rFonts w:hint="eastAsia" w:ascii="仿宋_GB2312" w:eastAsia="仿宋_GB2312"/>
          <w:b/>
          <w:sz w:val="32"/>
          <w:szCs w:val="32"/>
        </w:rPr>
      </w:pPr>
      <w:r>
        <w:rPr>
          <w:rFonts w:hint="eastAsia" w:ascii="仿宋_GB2312" w:eastAsia="仿宋_GB2312"/>
          <w:b/>
          <w:sz w:val="32"/>
          <w:szCs w:val="32"/>
        </w:rPr>
        <w:t>（二）依申请公开情况。</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202</w:t>
      </w:r>
      <w:r>
        <w:rPr>
          <w:rFonts w:hint="eastAsia" w:ascii="仿宋_GB2312"/>
          <w:sz w:val="32"/>
          <w:szCs w:val="32"/>
          <w:lang w:val="en-US" w:eastAsia="zh-CN"/>
        </w:rPr>
        <w:t>3</w:t>
      </w:r>
      <w:r>
        <w:rPr>
          <w:rFonts w:hint="eastAsia" w:ascii="仿宋_GB2312" w:eastAsia="仿宋_GB2312"/>
          <w:sz w:val="32"/>
          <w:szCs w:val="32"/>
        </w:rPr>
        <w:t>年度</w:t>
      </w:r>
      <w:r>
        <w:rPr>
          <w:rFonts w:hint="eastAsia" w:ascii="仿宋_GB2312"/>
          <w:sz w:val="32"/>
          <w:szCs w:val="32"/>
          <w:lang w:eastAsia="zh-CN"/>
        </w:rPr>
        <w:t>，</w:t>
      </w:r>
      <w:r>
        <w:rPr>
          <w:rFonts w:hint="eastAsia" w:ascii="仿宋_GB2312" w:eastAsia="仿宋_GB2312"/>
          <w:sz w:val="32"/>
          <w:szCs w:val="32"/>
          <w:lang w:val="en-US" w:eastAsia="zh-CN"/>
        </w:rPr>
        <w:t>翁垟</w:t>
      </w:r>
      <w:r>
        <w:rPr>
          <w:rFonts w:hint="eastAsia" w:ascii="仿宋_GB2312" w:eastAsia="仿宋_GB2312"/>
          <w:sz w:val="32"/>
          <w:szCs w:val="32"/>
        </w:rPr>
        <w:t>街道共受理</w:t>
      </w:r>
      <w:r>
        <w:rPr>
          <w:rFonts w:hint="eastAsia" w:ascii="仿宋_GB2312"/>
          <w:sz w:val="32"/>
          <w:szCs w:val="32"/>
          <w:lang w:val="en-US" w:eastAsia="zh-CN"/>
        </w:rPr>
        <w:t>依</w:t>
      </w:r>
      <w:r>
        <w:rPr>
          <w:rFonts w:hint="eastAsia" w:ascii="仿宋_GB2312" w:eastAsia="仿宋_GB2312"/>
          <w:sz w:val="32"/>
          <w:szCs w:val="32"/>
        </w:rPr>
        <w:t>申请公开数</w:t>
      </w:r>
      <w:r>
        <w:rPr>
          <w:rFonts w:hint="eastAsia" w:ascii="仿宋_GB2312"/>
          <w:sz w:val="32"/>
          <w:szCs w:val="32"/>
          <w:lang w:val="en-US" w:eastAsia="zh-CN"/>
        </w:rPr>
        <w:t>2起</w:t>
      </w:r>
      <w:r>
        <w:rPr>
          <w:rFonts w:hint="eastAsia" w:ascii="仿宋_GB2312" w:eastAsia="仿宋_GB2312"/>
          <w:sz w:val="32"/>
          <w:szCs w:val="32"/>
        </w:rPr>
        <w:t>，</w:t>
      </w:r>
      <w:r>
        <w:rPr>
          <w:rFonts w:hint="eastAsia" w:ascii="仿宋_GB2312"/>
          <w:sz w:val="32"/>
          <w:szCs w:val="32"/>
          <w:lang w:val="en-US" w:eastAsia="zh-CN"/>
        </w:rPr>
        <w:t>且2件已完成答复</w:t>
      </w:r>
      <w:r>
        <w:rPr>
          <w:rFonts w:hint="eastAsia" w:ascii="仿宋_GB2312" w:eastAsia="仿宋_GB2312"/>
          <w:sz w:val="32"/>
          <w:szCs w:val="32"/>
        </w:rPr>
        <w:t>。</w:t>
      </w:r>
      <w:bookmarkStart w:id="0" w:name="_GoBack"/>
      <w:bookmarkEnd w:id="0"/>
    </w:p>
    <w:p>
      <w:pPr>
        <w:ind w:firstLine="643" w:firstLineChars="200"/>
        <w:rPr>
          <w:rFonts w:hint="eastAsia" w:ascii="仿宋_GB2312" w:eastAsia="仿宋_GB2312"/>
          <w:sz w:val="32"/>
          <w:szCs w:val="32"/>
        </w:rPr>
      </w:pPr>
      <w:r>
        <w:rPr>
          <w:rFonts w:eastAsia="黑体"/>
          <w:b/>
          <w:bCs/>
          <w:color w:val="333333"/>
        </w:rPr>
        <w:t>二、主动公开政府信息情况</w:t>
      </w:r>
    </w:p>
    <w:tbl>
      <w:tblPr>
        <w:tblStyle w:val="3"/>
        <w:tblW w:w="9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51"/>
        <w:gridCol w:w="2435"/>
        <w:gridCol w:w="2435"/>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264" w:type="dxa"/>
            <w:gridSpan w:val="4"/>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951"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2435"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w:t>
            </w:r>
            <w:r>
              <w:rPr>
                <w:sz w:val="24"/>
              </w:rPr>
              <w:t>制发件数</w:t>
            </w:r>
          </w:p>
        </w:tc>
        <w:tc>
          <w:tcPr>
            <w:tcW w:w="2435"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本年废止件数</w:t>
            </w:r>
          </w:p>
        </w:tc>
        <w:tc>
          <w:tcPr>
            <w:tcW w:w="2443"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现行有效件</w:t>
            </w:r>
            <w:r>
              <w:rPr>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951" w:type="dxa"/>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规章</w:t>
            </w:r>
          </w:p>
        </w:tc>
        <w:tc>
          <w:tcPr>
            <w:tcW w:w="2435" w:type="dxa"/>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hAnsi="宋体"/>
                <w:color w:val="000000"/>
                <w:sz w:val="24"/>
                <w:lang w:val="en-US" w:eastAsia="zh-CN"/>
              </w:rPr>
              <w:t>0</w:t>
            </w:r>
          </w:p>
        </w:tc>
        <w:tc>
          <w:tcPr>
            <w:tcW w:w="2435" w:type="dxa"/>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hAnsi="宋体"/>
                <w:color w:val="000000"/>
                <w:sz w:val="24"/>
                <w:lang w:val="en-US" w:eastAsia="zh-CN"/>
              </w:rPr>
              <w:t>0</w:t>
            </w:r>
          </w:p>
        </w:tc>
        <w:tc>
          <w:tcPr>
            <w:tcW w:w="2443" w:type="dxa"/>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951" w:type="dxa"/>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行政规范性文件</w:t>
            </w:r>
          </w:p>
        </w:tc>
        <w:tc>
          <w:tcPr>
            <w:tcW w:w="2435" w:type="dxa"/>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hAnsi="宋体"/>
                <w:color w:val="000000"/>
                <w:sz w:val="24"/>
                <w:lang w:val="en-US" w:eastAsia="zh-CN"/>
              </w:rPr>
              <w:t>1</w:t>
            </w:r>
          </w:p>
        </w:tc>
        <w:tc>
          <w:tcPr>
            <w:tcW w:w="2435" w:type="dxa"/>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hAnsi="宋体"/>
                <w:color w:val="000000"/>
                <w:sz w:val="24"/>
                <w:lang w:val="en-US" w:eastAsia="zh-CN"/>
              </w:rPr>
              <w:t>1</w:t>
            </w:r>
          </w:p>
        </w:tc>
        <w:tc>
          <w:tcPr>
            <w:tcW w:w="2443" w:type="dxa"/>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264" w:type="dxa"/>
            <w:gridSpan w:val="4"/>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951"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951" w:type="dxa"/>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行政许可</w:t>
            </w:r>
          </w:p>
        </w:tc>
        <w:tc>
          <w:tcPr>
            <w:tcW w:w="7313"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default" w:eastAsia="仿宋_GB2312"/>
                <w:sz w:val="24"/>
                <w:lang w:val="en-US" w:eastAsia="zh-CN"/>
              </w:rPr>
            </w:pPr>
            <w:r>
              <w:rPr>
                <w:rFonts w:hint="eastAsia"/>
                <w:sz w:val="24"/>
                <w:lang w:val="en-US" w:eastAsia="zh-CN"/>
              </w:rPr>
              <w:t xml:space="preserve">180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264" w:type="dxa"/>
            <w:gridSpan w:val="4"/>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951"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951" w:type="dxa"/>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行政处罚</w:t>
            </w:r>
          </w:p>
        </w:tc>
        <w:tc>
          <w:tcPr>
            <w:tcW w:w="7313" w:type="dxa"/>
            <w:gridSpan w:val="3"/>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hAnsi="宋体"/>
                <w:color w:val="000000"/>
                <w:sz w:val="24"/>
                <w:lang w:val="en-US" w:eastAsia="zh-CN"/>
              </w:rPr>
              <w:t xml:space="preserve">196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951" w:type="dxa"/>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行政强制</w:t>
            </w:r>
          </w:p>
        </w:tc>
        <w:tc>
          <w:tcPr>
            <w:tcW w:w="7313" w:type="dxa"/>
            <w:gridSpan w:val="3"/>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hAnsi="宋体"/>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264" w:type="dxa"/>
            <w:gridSpan w:val="4"/>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951"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951" w:type="dxa"/>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行政事业性收费</w:t>
            </w:r>
          </w:p>
        </w:tc>
        <w:tc>
          <w:tcPr>
            <w:tcW w:w="7313"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r>
    </w:tbl>
    <w:p>
      <w:pPr>
        <w:ind w:firstLine="643" w:firstLineChars="200"/>
      </w:pPr>
      <w:r>
        <w:rPr>
          <w:rFonts w:eastAsia="黑体"/>
          <w:b/>
          <w:bCs/>
          <w:color w:val="333333"/>
        </w:rPr>
        <w:t>三、收到和处理政府信息公开申请情况</w:t>
      </w:r>
    </w:p>
    <w:tbl>
      <w:tblPr>
        <w:tblStyle w:val="3"/>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94"/>
        <w:gridCol w:w="942"/>
        <w:gridCol w:w="3095"/>
        <w:gridCol w:w="674"/>
        <w:gridCol w:w="674"/>
        <w:gridCol w:w="674"/>
        <w:gridCol w:w="674"/>
        <w:gridCol w:w="674"/>
        <w:gridCol w:w="67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561" w:type="dxa"/>
            <w:gridSpan w:val="3"/>
            <w:vMerge w:val="restart"/>
            <w:noWrap w:val="0"/>
            <w:tcMar>
              <w:top w:w="0" w:type="dxa"/>
              <w:left w:w="108" w:type="dxa"/>
              <w:bottom w:w="0" w:type="dxa"/>
              <w:right w:w="108" w:type="dxa"/>
            </w:tcMar>
            <w:vAlign w:val="center"/>
          </w:tcPr>
          <w:p>
            <w:pPr>
              <w:spacing w:before="57" w:beforeLines="10" w:after="57" w:afterLines="10" w:line="300" w:lineRule="exact"/>
              <w:rPr>
                <w:sz w:val="24"/>
              </w:rPr>
            </w:pPr>
            <w:r>
              <w:rPr>
                <w:rFonts w:eastAsia="楷体"/>
                <w:sz w:val="24"/>
              </w:rPr>
              <w:t>（本列数据的勾稽关系为：第一项加第二项之和，等于第三项加第四项之和）</w:t>
            </w:r>
          </w:p>
        </w:tc>
        <w:tc>
          <w:tcPr>
            <w:tcW w:w="4790" w:type="dxa"/>
            <w:gridSpan w:val="7"/>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561" w:type="dxa"/>
            <w:gridSpan w:val="3"/>
            <w:vMerge w:val="continue"/>
            <w:noWrap w:val="0"/>
            <w:vAlign w:val="center"/>
          </w:tcPr>
          <w:p>
            <w:pPr>
              <w:spacing w:before="57" w:beforeLines="10" w:after="57" w:afterLines="10" w:line="300" w:lineRule="exact"/>
              <w:rPr>
                <w:sz w:val="24"/>
              </w:rPr>
            </w:pPr>
          </w:p>
        </w:tc>
        <w:tc>
          <w:tcPr>
            <w:tcW w:w="684" w:type="dxa"/>
            <w:vMerge w:val="restart"/>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自然人</w:t>
            </w:r>
          </w:p>
        </w:tc>
        <w:tc>
          <w:tcPr>
            <w:tcW w:w="3421" w:type="dxa"/>
            <w:gridSpan w:val="5"/>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法人或其他组织</w:t>
            </w:r>
          </w:p>
        </w:tc>
        <w:tc>
          <w:tcPr>
            <w:tcW w:w="685" w:type="dxa"/>
            <w:vMerge w:val="restart"/>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总计</w:t>
            </w:r>
          </w:p>
        </w:tc>
      </w:tr>
      <w:tr>
        <w:tblPrEx>
          <w:tblCellMar>
            <w:top w:w="0" w:type="dxa"/>
            <w:left w:w="0" w:type="dxa"/>
            <w:bottom w:w="0" w:type="dxa"/>
            <w:right w:w="0" w:type="dxa"/>
          </w:tblCellMar>
        </w:tblPrEx>
        <w:trPr>
          <w:trHeight w:val="1231" w:hRule="atLeast"/>
          <w:jc w:val="center"/>
        </w:trPr>
        <w:tc>
          <w:tcPr>
            <w:tcW w:w="4561" w:type="dxa"/>
            <w:gridSpan w:val="3"/>
            <w:vMerge w:val="continue"/>
            <w:noWrap w:val="0"/>
            <w:vAlign w:val="center"/>
          </w:tcPr>
          <w:p>
            <w:pPr>
              <w:spacing w:before="57" w:beforeLines="10" w:after="57" w:afterLines="10" w:line="300" w:lineRule="exact"/>
              <w:rPr>
                <w:sz w:val="24"/>
              </w:rPr>
            </w:pPr>
          </w:p>
        </w:tc>
        <w:tc>
          <w:tcPr>
            <w:tcW w:w="684" w:type="dxa"/>
            <w:vMerge w:val="continue"/>
            <w:noWrap w:val="0"/>
            <w:vAlign w:val="center"/>
          </w:tcPr>
          <w:p>
            <w:pPr>
              <w:spacing w:before="57" w:beforeLines="10" w:after="57" w:afterLines="10" w:line="300" w:lineRule="exact"/>
              <w:rPr>
                <w:sz w:val="24"/>
              </w:rPr>
            </w:pPr>
          </w:p>
        </w:tc>
        <w:tc>
          <w:tcPr>
            <w:tcW w:w="684"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商业</w:t>
            </w:r>
          </w:p>
          <w:p>
            <w:pPr>
              <w:spacing w:before="57" w:beforeLines="10" w:after="57" w:afterLines="10" w:line="300" w:lineRule="exact"/>
              <w:jc w:val="center"/>
              <w:rPr>
                <w:sz w:val="24"/>
              </w:rPr>
            </w:pPr>
            <w:r>
              <w:rPr>
                <w:sz w:val="24"/>
              </w:rPr>
              <w:t>企业</w:t>
            </w:r>
          </w:p>
        </w:tc>
        <w:tc>
          <w:tcPr>
            <w:tcW w:w="684"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科研</w:t>
            </w:r>
          </w:p>
          <w:p>
            <w:pPr>
              <w:spacing w:before="57" w:beforeLines="10" w:after="57" w:afterLines="10" w:line="300" w:lineRule="exact"/>
              <w:jc w:val="center"/>
              <w:rPr>
                <w:sz w:val="24"/>
              </w:rPr>
            </w:pPr>
            <w:r>
              <w:rPr>
                <w:sz w:val="24"/>
              </w:rPr>
              <w:t>机构</w:t>
            </w:r>
          </w:p>
        </w:tc>
        <w:tc>
          <w:tcPr>
            <w:tcW w:w="684"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社会公益组织</w:t>
            </w:r>
          </w:p>
        </w:tc>
        <w:tc>
          <w:tcPr>
            <w:tcW w:w="684"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法律服务机构</w:t>
            </w:r>
          </w:p>
        </w:tc>
        <w:tc>
          <w:tcPr>
            <w:tcW w:w="685"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其他</w:t>
            </w:r>
          </w:p>
        </w:tc>
        <w:tc>
          <w:tcPr>
            <w:tcW w:w="685" w:type="dxa"/>
            <w:vMerge w:val="continue"/>
            <w:noWrap w:val="0"/>
            <w:vAlign w:val="center"/>
          </w:tcPr>
          <w:p>
            <w:pPr>
              <w:spacing w:before="57" w:beforeLines="10" w:after="57" w:afterLines="10"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4561" w:type="dxa"/>
            <w:gridSpan w:val="3"/>
            <w:noWrap w:val="0"/>
            <w:tcMar>
              <w:top w:w="0" w:type="dxa"/>
              <w:left w:w="57" w:type="dxa"/>
              <w:bottom w:w="0" w:type="dxa"/>
              <w:right w:w="57" w:type="dxa"/>
            </w:tcMar>
            <w:vAlign w:val="center"/>
          </w:tcPr>
          <w:p>
            <w:pPr>
              <w:spacing w:before="57" w:beforeLines="10" w:after="57" w:afterLines="10" w:line="300" w:lineRule="exact"/>
              <w:rPr>
                <w:sz w:val="24"/>
              </w:rPr>
            </w:pPr>
            <w:r>
              <w:rPr>
                <w:sz w:val="24"/>
              </w:rPr>
              <w:t>一、本年新收政府信息公开申请数量</w:t>
            </w:r>
          </w:p>
        </w:tc>
        <w:tc>
          <w:tcPr>
            <w:tcW w:w="684" w:type="dxa"/>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2</w:t>
            </w:r>
          </w:p>
        </w:tc>
        <w:tc>
          <w:tcPr>
            <w:tcW w:w="684" w:type="dxa"/>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32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32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61" w:type="dxa"/>
            <w:gridSpan w:val="3"/>
            <w:noWrap w:val="0"/>
            <w:tcMar>
              <w:top w:w="0" w:type="dxa"/>
              <w:left w:w="57" w:type="dxa"/>
              <w:bottom w:w="0" w:type="dxa"/>
              <w:right w:w="57" w:type="dxa"/>
            </w:tcMar>
            <w:vAlign w:val="center"/>
          </w:tcPr>
          <w:p>
            <w:pPr>
              <w:spacing w:before="57" w:beforeLines="10" w:after="57" w:afterLines="10" w:line="300" w:lineRule="exact"/>
              <w:rPr>
                <w:sz w:val="24"/>
              </w:rPr>
            </w:pPr>
            <w:r>
              <w:rPr>
                <w:sz w:val="24"/>
              </w:rPr>
              <w:t>二、上年结转政府信息公开申请数量</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CellMar>
            <w:top w:w="0" w:type="dxa"/>
            <w:left w:w="0" w:type="dxa"/>
            <w:bottom w:w="0" w:type="dxa"/>
            <w:right w:w="0" w:type="dxa"/>
          </w:tblCellMar>
        </w:tblPrEx>
        <w:trPr>
          <w:trHeight w:val="23" w:hRule="atLeast"/>
          <w:jc w:val="center"/>
        </w:trPr>
        <w:tc>
          <w:tcPr>
            <w:tcW w:w="438" w:type="dxa"/>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三、本年度办理结果</w:t>
            </w:r>
          </w:p>
        </w:tc>
        <w:tc>
          <w:tcPr>
            <w:tcW w:w="4123" w:type="dxa"/>
            <w:gridSpan w:val="2"/>
            <w:noWrap w:val="0"/>
            <w:tcMar>
              <w:top w:w="0" w:type="dxa"/>
              <w:left w:w="57" w:type="dxa"/>
              <w:bottom w:w="0" w:type="dxa"/>
              <w:right w:w="57" w:type="dxa"/>
            </w:tcMar>
            <w:vAlign w:val="center"/>
          </w:tcPr>
          <w:p>
            <w:pPr>
              <w:spacing w:before="80" w:beforeLines="14" w:after="80" w:afterLines="14" w:line="300" w:lineRule="exact"/>
              <w:rPr>
                <w:sz w:val="24"/>
              </w:rPr>
            </w:pPr>
            <w:r>
              <w:rPr>
                <w:sz w:val="24"/>
              </w:rPr>
              <w:t>（一）予以公开</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4123" w:type="dxa"/>
            <w:gridSpan w:val="2"/>
            <w:noWrap w:val="0"/>
            <w:tcMar>
              <w:top w:w="0" w:type="dxa"/>
              <w:left w:w="57" w:type="dxa"/>
              <w:bottom w:w="0" w:type="dxa"/>
              <w:right w:w="57" w:type="dxa"/>
            </w:tcMar>
            <w:vAlign w:val="center"/>
          </w:tcPr>
          <w:p>
            <w:pPr>
              <w:spacing w:before="80" w:beforeLines="14" w:after="80" w:afterLines="14" w:line="300" w:lineRule="exact"/>
              <w:rPr>
                <w:sz w:val="24"/>
              </w:rPr>
            </w:pPr>
            <w:r>
              <w:rPr>
                <w:sz w:val="24"/>
              </w:rPr>
              <w:t>（二）部分公开</w:t>
            </w:r>
            <w:r>
              <w:rPr>
                <w:rFonts w:eastAsia="楷体"/>
                <w:sz w:val="24"/>
              </w:rPr>
              <w:t>（区分处理的，只计这一情形，不计其他情形）</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1</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947" w:type="dxa"/>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（三）不予公开</w:t>
            </w:r>
          </w:p>
        </w:tc>
        <w:tc>
          <w:tcPr>
            <w:tcW w:w="3176"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1.属于国家秘密</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947" w:type="dxa"/>
            <w:vMerge w:val="continue"/>
            <w:noWrap w:val="0"/>
            <w:vAlign w:val="center"/>
          </w:tcPr>
          <w:p>
            <w:pPr>
              <w:spacing w:before="80" w:beforeLines="14" w:after="80" w:afterLines="14" w:line="300" w:lineRule="exact"/>
              <w:rPr>
                <w:sz w:val="24"/>
              </w:rPr>
            </w:pPr>
          </w:p>
        </w:tc>
        <w:tc>
          <w:tcPr>
            <w:tcW w:w="3176"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2.其他法律行政法规禁止公开</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947" w:type="dxa"/>
            <w:vMerge w:val="continue"/>
            <w:noWrap w:val="0"/>
            <w:vAlign w:val="center"/>
          </w:tcPr>
          <w:p>
            <w:pPr>
              <w:spacing w:before="80" w:beforeLines="14" w:after="80" w:afterLines="14" w:line="300" w:lineRule="exact"/>
              <w:rPr>
                <w:sz w:val="24"/>
              </w:rPr>
            </w:pPr>
          </w:p>
        </w:tc>
        <w:tc>
          <w:tcPr>
            <w:tcW w:w="3176"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3.危及“三安全一稳定”</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947" w:type="dxa"/>
            <w:vMerge w:val="continue"/>
            <w:noWrap w:val="0"/>
            <w:vAlign w:val="center"/>
          </w:tcPr>
          <w:p>
            <w:pPr>
              <w:spacing w:before="80" w:beforeLines="14" w:after="80" w:afterLines="14" w:line="300" w:lineRule="exact"/>
              <w:rPr>
                <w:sz w:val="24"/>
              </w:rPr>
            </w:pPr>
          </w:p>
        </w:tc>
        <w:tc>
          <w:tcPr>
            <w:tcW w:w="3176"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4.保护第三方合法权益</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1</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947" w:type="dxa"/>
            <w:vMerge w:val="continue"/>
            <w:noWrap w:val="0"/>
            <w:vAlign w:val="center"/>
          </w:tcPr>
          <w:p>
            <w:pPr>
              <w:spacing w:before="80" w:beforeLines="14" w:after="80" w:afterLines="14" w:line="300" w:lineRule="exact"/>
              <w:rPr>
                <w:sz w:val="24"/>
              </w:rPr>
            </w:pPr>
          </w:p>
        </w:tc>
        <w:tc>
          <w:tcPr>
            <w:tcW w:w="3176"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5.属于三类内部事务信息</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947" w:type="dxa"/>
            <w:vMerge w:val="continue"/>
            <w:noWrap w:val="0"/>
            <w:vAlign w:val="center"/>
          </w:tcPr>
          <w:p>
            <w:pPr>
              <w:spacing w:before="80" w:beforeLines="14" w:after="80" w:afterLines="14" w:line="300" w:lineRule="exact"/>
              <w:rPr>
                <w:sz w:val="24"/>
              </w:rPr>
            </w:pPr>
          </w:p>
        </w:tc>
        <w:tc>
          <w:tcPr>
            <w:tcW w:w="3176"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6.属于四类过程性信息</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947" w:type="dxa"/>
            <w:vMerge w:val="continue"/>
            <w:noWrap w:val="0"/>
            <w:vAlign w:val="center"/>
          </w:tcPr>
          <w:p>
            <w:pPr>
              <w:spacing w:before="80" w:beforeLines="14" w:after="80" w:afterLines="14" w:line="300" w:lineRule="exact"/>
              <w:rPr>
                <w:sz w:val="24"/>
              </w:rPr>
            </w:pPr>
          </w:p>
        </w:tc>
        <w:tc>
          <w:tcPr>
            <w:tcW w:w="3176"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7.属于行政执法案卷</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947" w:type="dxa"/>
            <w:vMerge w:val="continue"/>
            <w:noWrap w:val="0"/>
            <w:vAlign w:val="center"/>
          </w:tcPr>
          <w:p>
            <w:pPr>
              <w:spacing w:before="80" w:beforeLines="14" w:after="80" w:afterLines="14" w:line="300" w:lineRule="exact"/>
              <w:rPr>
                <w:sz w:val="24"/>
              </w:rPr>
            </w:pPr>
          </w:p>
        </w:tc>
        <w:tc>
          <w:tcPr>
            <w:tcW w:w="3176"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8.属于行政查询事项</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947" w:type="dxa"/>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（四）无法提供</w:t>
            </w:r>
          </w:p>
        </w:tc>
        <w:tc>
          <w:tcPr>
            <w:tcW w:w="3176"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1.本机关不掌握相关政府信息</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default"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947" w:type="dxa"/>
            <w:vMerge w:val="continue"/>
            <w:noWrap w:val="0"/>
            <w:vAlign w:val="center"/>
          </w:tcPr>
          <w:p>
            <w:pPr>
              <w:spacing w:before="80" w:beforeLines="14" w:after="80" w:afterLines="14" w:line="300" w:lineRule="exact"/>
              <w:rPr>
                <w:sz w:val="24"/>
              </w:rPr>
            </w:pPr>
          </w:p>
        </w:tc>
        <w:tc>
          <w:tcPr>
            <w:tcW w:w="3176"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2.没有现成信息需要另行制作</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947" w:type="dxa"/>
            <w:vMerge w:val="continue"/>
            <w:noWrap w:val="0"/>
            <w:vAlign w:val="center"/>
          </w:tcPr>
          <w:p>
            <w:pPr>
              <w:spacing w:before="80" w:beforeLines="14" w:after="80" w:afterLines="14" w:line="300" w:lineRule="exact"/>
              <w:rPr>
                <w:sz w:val="24"/>
              </w:rPr>
            </w:pPr>
          </w:p>
        </w:tc>
        <w:tc>
          <w:tcPr>
            <w:tcW w:w="3176"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3.补正后申请内容仍不明确</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947" w:type="dxa"/>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（五）不予处理</w:t>
            </w:r>
          </w:p>
        </w:tc>
        <w:tc>
          <w:tcPr>
            <w:tcW w:w="3176"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1.信访举报投诉类申请</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947" w:type="dxa"/>
            <w:vMerge w:val="continue"/>
            <w:noWrap w:val="0"/>
            <w:vAlign w:val="center"/>
          </w:tcPr>
          <w:p>
            <w:pPr>
              <w:spacing w:before="80" w:beforeLines="14" w:after="80" w:afterLines="14" w:line="300" w:lineRule="exact"/>
              <w:rPr>
                <w:sz w:val="24"/>
              </w:rPr>
            </w:pPr>
          </w:p>
        </w:tc>
        <w:tc>
          <w:tcPr>
            <w:tcW w:w="3176"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2.重复申请</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947" w:type="dxa"/>
            <w:vMerge w:val="continue"/>
            <w:noWrap w:val="0"/>
            <w:vAlign w:val="center"/>
          </w:tcPr>
          <w:p>
            <w:pPr>
              <w:spacing w:before="80" w:beforeLines="14" w:after="80" w:afterLines="14" w:line="300" w:lineRule="exact"/>
              <w:rPr>
                <w:sz w:val="24"/>
              </w:rPr>
            </w:pPr>
          </w:p>
        </w:tc>
        <w:tc>
          <w:tcPr>
            <w:tcW w:w="3176"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3.要求提供公开出版物</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947" w:type="dxa"/>
            <w:vMerge w:val="continue"/>
            <w:noWrap w:val="0"/>
            <w:vAlign w:val="center"/>
          </w:tcPr>
          <w:p>
            <w:pPr>
              <w:spacing w:before="80" w:beforeLines="14" w:after="80" w:afterLines="14" w:line="300" w:lineRule="exact"/>
              <w:rPr>
                <w:sz w:val="24"/>
              </w:rPr>
            </w:pPr>
          </w:p>
        </w:tc>
        <w:tc>
          <w:tcPr>
            <w:tcW w:w="3176"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4.无正当理由大量反复申请</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947" w:type="dxa"/>
            <w:vMerge w:val="continue"/>
            <w:noWrap w:val="0"/>
            <w:vAlign w:val="center"/>
          </w:tcPr>
          <w:p>
            <w:pPr>
              <w:spacing w:before="80" w:beforeLines="14" w:after="80" w:afterLines="14" w:line="300" w:lineRule="exact"/>
              <w:rPr>
                <w:sz w:val="24"/>
              </w:rPr>
            </w:pPr>
          </w:p>
        </w:tc>
        <w:tc>
          <w:tcPr>
            <w:tcW w:w="3176" w:type="dxa"/>
            <w:noWrap w:val="0"/>
            <w:tcMar>
              <w:top w:w="0" w:type="dxa"/>
              <w:left w:w="57" w:type="dxa"/>
              <w:bottom w:w="0" w:type="dxa"/>
              <w:right w:w="57" w:type="dxa"/>
            </w:tcMar>
            <w:vAlign w:val="center"/>
          </w:tcPr>
          <w:p>
            <w:pPr>
              <w:spacing w:before="80" w:beforeLines="14" w:after="80" w:afterLines="14" w:line="300" w:lineRule="exact"/>
              <w:rPr>
                <w:sz w:val="24"/>
              </w:rPr>
            </w:pPr>
            <w:r>
              <w:rPr>
                <w:sz w:val="24"/>
              </w:rPr>
              <w:t>5.要求行政机关确认或重新出具已获取信息</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947" w:type="dxa"/>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（六）其他处理</w:t>
            </w:r>
          </w:p>
        </w:tc>
        <w:tc>
          <w:tcPr>
            <w:tcW w:w="3176" w:type="dxa"/>
            <w:noWrap w:val="0"/>
            <w:tcMar>
              <w:top w:w="0" w:type="dxa"/>
              <w:left w:w="57" w:type="dxa"/>
              <w:bottom w:w="0" w:type="dxa"/>
              <w:right w:w="57" w:type="dxa"/>
            </w:tcMar>
            <w:vAlign w:val="center"/>
          </w:tcPr>
          <w:p>
            <w:pPr>
              <w:spacing w:before="80" w:beforeLines="14" w:after="80" w:afterLines="14" w:line="300" w:lineRule="exact"/>
              <w:rPr>
                <w:sz w:val="24"/>
              </w:rPr>
            </w:pPr>
            <w:r>
              <w:rPr>
                <w:sz w:val="24"/>
              </w:rPr>
              <w:t>1.申请人无正当理由逾期不补正、行政机关不再处理其政府信息公开申请</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947" w:type="dxa"/>
            <w:vMerge w:val="continue"/>
            <w:noWrap w:val="0"/>
            <w:vAlign w:val="center"/>
          </w:tcPr>
          <w:p>
            <w:pPr>
              <w:spacing w:before="80" w:beforeLines="14" w:after="80" w:afterLines="14" w:line="300" w:lineRule="exact"/>
              <w:rPr>
                <w:sz w:val="24"/>
              </w:rPr>
            </w:pPr>
          </w:p>
        </w:tc>
        <w:tc>
          <w:tcPr>
            <w:tcW w:w="3176" w:type="dxa"/>
            <w:noWrap w:val="0"/>
            <w:tcMar>
              <w:top w:w="0" w:type="dxa"/>
              <w:left w:w="57" w:type="dxa"/>
              <w:bottom w:w="0" w:type="dxa"/>
              <w:right w:w="57" w:type="dxa"/>
            </w:tcMar>
            <w:vAlign w:val="center"/>
          </w:tcPr>
          <w:p>
            <w:pPr>
              <w:spacing w:before="80" w:beforeLines="14" w:after="80" w:afterLines="14" w:line="300" w:lineRule="exact"/>
              <w:rPr>
                <w:sz w:val="24"/>
              </w:rPr>
            </w:pPr>
            <w:r>
              <w:rPr>
                <w:sz w:val="24"/>
              </w:rPr>
              <w:t>2.申请人逾期未按收费通知要求缴纳费用、行政机关不再处理其政府信息公开申请</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947" w:type="dxa"/>
            <w:vMerge w:val="continue"/>
            <w:noWrap w:val="0"/>
            <w:vAlign w:val="center"/>
          </w:tcPr>
          <w:p>
            <w:pPr>
              <w:spacing w:before="80" w:beforeLines="14" w:after="80" w:afterLines="14" w:line="300" w:lineRule="exact"/>
              <w:rPr>
                <w:sz w:val="24"/>
              </w:rPr>
            </w:pPr>
          </w:p>
        </w:tc>
        <w:tc>
          <w:tcPr>
            <w:tcW w:w="3176" w:type="dxa"/>
            <w:noWrap w:val="0"/>
            <w:tcMar>
              <w:top w:w="0" w:type="dxa"/>
              <w:left w:w="57" w:type="dxa"/>
              <w:bottom w:w="0" w:type="dxa"/>
              <w:right w:w="57" w:type="dxa"/>
            </w:tcMar>
            <w:vAlign w:val="center"/>
          </w:tcPr>
          <w:p>
            <w:pPr>
              <w:spacing w:before="80" w:beforeLines="14" w:after="80" w:afterLines="14" w:line="300" w:lineRule="exact"/>
              <w:rPr>
                <w:sz w:val="24"/>
              </w:rPr>
            </w:pPr>
            <w:r>
              <w:rPr>
                <w:sz w:val="24"/>
              </w:rPr>
              <w:t>3.其他</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8" w:type="dxa"/>
            <w:vMerge w:val="continue"/>
            <w:noWrap w:val="0"/>
            <w:vAlign w:val="center"/>
          </w:tcPr>
          <w:p>
            <w:pPr>
              <w:spacing w:before="80" w:beforeLines="14" w:after="80" w:afterLines="14" w:line="300" w:lineRule="exact"/>
              <w:rPr>
                <w:sz w:val="24"/>
              </w:rPr>
            </w:pPr>
          </w:p>
        </w:tc>
        <w:tc>
          <w:tcPr>
            <w:tcW w:w="4123" w:type="dxa"/>
            <w:gridSpan w:val="2"/>
            <w:noWrap w:val="0"/>
            <w:tcMar>
              <w:top w:w="0" w:type="dxa"/>
              <w:left w:w="57" w:type="dxa"/>
              <w:bottom w:w="0" w:type="dxa"/>
              <w:right w:w="57" w:type="dxa"/>
            </w:tcMar>
            <w:vAlign w:val="center"/>
          </w:tcPr>
          <w:p>
            <w:pPr>
              <w:spacing w:before="80" w:beforeLines="14" w:after="80" w:afterLines="14" w:line="300" w:lineRule="exact"/>
              <w:rPr>
                <w:sz w:val="24"/>
              </w:rPr>
            </w:pPr>
            <w:r>
              <w:rPr>
                <w:sz w:val="24"/>
              </w:rPr>
              <w:t>（七）总计</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2</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561" w:type="dxa"/>
            <w:gridSpan w:val="3"/>
            <w:noWrap w:val="0"/>
            <w:tcMar>
              <w:top w:w="0" w:type="dxa"/>
              <w:left w:w="57" w:type="dxa"/>
              <w:bottom w:w="0" w:type="dxa"/>
              <w:right w:w="57" w:type="dxa"/>
            </w:tcMar>
            <w:vAlign w:val="center"/>
          </w:tcPr>
          <w:p>
            <w:pPr>
              <w:spacing w:before="80" w:beforeLines="14" w:after="80" w:afterLines="14" w:line="300" w:lineRule="exact"/>
              <w:rPr>
                <w:sz w:val="24"/>
              </w:rPr>
            </w:pPr>
            <w:r>
              <w:rPr>
                <w:sz w:val="24"/>
              </w:rPr>
              <w:t>四、结转下年度继续办理</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4" w:type="dxa"/>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5" w:type="dxa"/>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bl>
    <w:p>
      <w:pPr>
        <w:ind w:firstLine="321" w:firstLineChars="100"/>
      </w:pPr>
      <w:r>
        <w:rPr>
          <w:rFonts w:eastAsia="黑体"/>
          <w:b/>
          <w:bCs/>
          <w:color w:val="333333"/>
        </w:rPr>
        <w:t>四、政府信息公开行政复议、行政诉讼情况</w:t>
      </w:r>
    </w:p>
    <w:tbl>
      <w:tblPr>
        <w:tblStyle w:val="3"/>
        <w:tblW w:w="9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56"/>
        <w:gridCol w:w="640"/>
        <w:gridCol w:w="640"/>
        <w:gridCol w:w="641"/>
        <w:gridCol w:w="641"/>
        <w:gridCol w:w="641"/>
        <w:gridCol w:w="641"/>
        <w:gridCol w:w="642"/>
        <w:gridCol w:w="642"/>
        <w:gridCol w:w="642"/>
        <w:gridCol w:w="643"/>
        <w:gridCol w:w="643"/>
        <w:gridCol w:w="643"/>
        <w:gridCol w:w="644"/>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940" w:type="dxa"/>
            <w:gridSpan w:val="5"/>
            <w:noWrap w:val="0"/>
            <w:tcMar>
              <w:top w:w="0" w:type="dxa"/>
              <w:left w:w="108" w:type="dxa"/>
              <w:bottom w:w="0" w:type="dxa"/>
              <w:right w:w="108" w:type="dxa"/>
            </w:tcMar>
            <w:vAlign w:val="center"/>
          </w:tcPr>
          <w:p>
            <w:pPr>
              <w:spacing w:before="57" w:beforeLines="10" w:after="57" w:afterLines="10" w:line="520" w:lineRule="exact"/>
              <w:jc w:val="center"/>
              <w:rPr>
                <w:sz w:val="28"/>
              </w:rPr>
            </w:pPr>
            <w:r>
              <w:rPr>
                <w:sz w:val="28"/>
              </w:rPr>
              <w:t>行政复议</w:t>
            </w:r>
          </w:p>
        </w:tc>
        <w:tc>
          <w:tcPr>
            <w:tcW w:w="6503" w:type="dxa"/>
            <w:gridSpan w:val="10"/>
            <w:noWrap w:val="0"/>
            <w:tcMar>
              <w:top w:w="0" w:type="dxa"/>
              <w:left w:w="108" w:type="dxa"/>
              <w:bottom w:w="0" w:type="dxa"/>
              <w:right w:w="108" w:type="dxa"/>
            </w:tcMar>
            <w:vAlign w:val="center"/>
          </w:tcPr>
          <w:p>
            <w:pPr>
              <w:spacing w:before="57" w:beforeLines="10" w:after="57" w:afterLines="10" w:line="520" w:lineRule="exact"/>
              <w:jc w:val="center"/>
              <w:rPr>
                <w:sz w:val="28"/>
              </w:rPr>
            </w:pPr>
            <w:r>
              <w:rPr>
                <w:sz w:val="2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46"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结果维持</w:t>
            </w:r>
          </w:p>
        </w:tc>
        <w:tc>
          <w:tcPr>
            <w:tcW w:w="648"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48"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其他</w:t>
            </w:r>
          </w:p>
          <w:p>
            <w:pPr>
              <w:spacing w:before="57" w:beforeLines="10" w:after="57" w:afterLines="10" w:line="520" w:lineRule="exact"/>
              <w:jc w:val="center"/>
              <w:rPr>
                <w:sz w:val="24"/>
              </w:rPr>
            </w:pPr>
            <w:r>
              <w:rPr>
                <w:sz w:val="24"/>
              </w:rPr>
              <w:t>结果</w:t>
            </w:r>
          </w:p>
        </w:tc>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总计</w:t>
            </w:r>
          </w:p>
        </w:tc>
        <w:tc>
          <w:tcPr>
            <w:tcW w:w="3248" w:type="dxa"/>
            <w:gridSpan w:val="5"/>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未经复议直接起诉</w:t>
            </w:r>
          </w:p>
        </w:tc>
        <w:tc>
          <w:tcPr>
            <w:tcW w:w="3255" w:type="dxa"/>
            <w:gridSpan w:val="5"/>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46" w:type="dxa"/>
            <w:vMerge w:val="continue"/>
            <w:noWrap w:val="0"/>
            <w:vAlign w:val="center"/>
          </w:tcPr>
          <w:p>
            <w:pPr>
              <w:spacing w:before="57" w:beforeLines="10" w:after="57" w:afterLines="10" w:line="520" w:lineRule="exact"/>
              <w:rPr>
                <w:sz w:val="24"/>
              </w:rPr>
            </w:pPr>
          </w:p>
        </w:tc>
        <w:tc>
          <w:tcPr>
            <w:tcW w:w="648" w:type="dxa"/>
            <w:vMerge w:val="continue"/>
            <w:noWrap w:val="0"/>
            <w:vAlign w:val="center"/>
          </w:tcPr>
          <w:p>
            <w:pPr>
              <w:spacing w:before="57" w:beforeLines="10" w:after="57" w:afterLines="10" w:line="520" w:lineRule="exact"/>
              <w:rPr>
                <w:sz w:val="24"/>
              </w:rPr>
            </w:pPr>
          </w:p>
        </w:tc>
        <w:tc>
          <w:tcPr>
            <w:tcW w:w="648" w:type="dxa"/>
            <w:vMerge w:val="continue"/>
            <w:noWrap w:val="0"/>
            <w:vAlign w:val="center"/>
          </w:tcPr>
          <w:p>
            <w:pPr>
              <w:spacing w:before="57" w:beforeLines="10" w:after="57" w:afterLines="10" w:line="520" w:lineRule="exact"/>
              <w:rPr>
                <w:sz w:val="24"/>
              </w:rPr>
            </w:pPr>
          </w:p>
        </w:tc>
        <w:tc>
          <w:tcPr>
            <w:tcW w:w="649" w:type="dxa"/>
            <w:vMerge w:val="continue"/>
            <w:noWrap w:val="0"/>
            <w:vAlign w:val="center"/>
          </w:tcPr>
          <w:p>
            <w:pPr>
              <w:spacing w:before="57" w:beforeLines="10" w:after="57" w:afterLines="10" w:line="520" w:lineRule="exact"/>
              <w:rPr>
                <w:sz w:val="24"/>
              </w:rPr>
            </w:pPr>
          </w:p>
        </w:tc>
        <w:tc>
          <w:tcPr>
            <w:tcW w:w="649" w:type="dxa"/>
            <w:vMerge w:val="continue"/>
            <w:noWrap w:val="0"/>
            <w:vAlign w:val="center"/>
          </w:tcPr>
          <w:p>
            <w:pPr>
              <w:spacing w:before="57" w:beforeLines="10" w:after="57" w:afterLines="10" w:line="520" w:lineRule="exact"/>
              <w:rPr>
                <w:sz w:val="24"/>
              </w:rPr>
            </w:pP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维持</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50"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其他</w:t>
            </w:r>
          </w:p>
          <w:p>
            <w:pPr>
              <w:spacing w:before="57" w:beforeLines="10" w:after="57" w:afterLines="10" w:line="520" w:lineRule="exact"/>
              <w:jc w:val="center"/>
              <w:rPr>
                <w:sz w:val="24"/>
              </w:rPr>
            </w:pPr>
            <w:r>
              <w:rPr>
                <w:sz w:val="24"/>
              </w:rPr>
              <w:t>结果</w:t>
            </w:r>
          </w:p>
        </w:tc>
        <w:tc>
          <w:tcPr>
            <w:tcW w:w="650"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50"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color w:val="000000"/>
                <w:sz w:val="24"/>
              </w:rPr>
              <w:t>总计</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维持</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color w:val="000000"/>
                <w:sz w:val="24"/>
              </w:rPr>
            </w:pPr>
            <w:r>
              <w:rPr>
                <w:color w:val="000000"/>
                <w:sz w:val="24"/>
              </w:rPr>
              <w:t>其他</w:t>
            </w:r>
          </w:p>
          <w:p>
            <w:pPr>
              <w:spacing w:before="57" w:beforeLines="10" w:after="57" w:afterLines="10" w:line="520" w:lineRule="exact"/>
              <w:jc w:val="center"/>
              <w:rPr>
                <w:sz w:val="24"/>
              </w:rPr>
            </w:pPr>
            <w:r>
              <w:rPr>
                <w:color w:val="000000"/>
                <w:sz w:val="24"/>
              </w:rPr>
              <w:t>结果</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color w:val="00000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46" w:type="dxa"/>
            <w:noWrap w:val="0"/>
            <w:tcMar>
              <w:top w:w="0" w:type="dxa"/>
              <w:left w:w="108" w:type="dxa"/>
              <w:bottom w:w="0" w:type="dxa"/>
              <w:right w:w="108"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48" w:type="dxa"/>
            <w:noWrap w:val="0"/>
            <w:tcMar>
              <w:top w:w="0" w:type="dxa"/>
              <w:left w:w="108" w:type="dxa"/>
              <w:bottom w:w="0" w:type="dxa"/>
              <w:right w:w="108"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1</w:t>
            </w:r>
          </w:p>
        </w:tc>
        <w:tc>
          <w:tcPr>
            <w:tcW w:w="648" w:type="dxa"/>
            <w:noWrap w:val="0"/>
            <w:tcMar>
              <w:top w:w="0" w:type="dxa"/>
              <w:left w:w="108" w:type="dxa"/>
              <w:bottom w:w="0" w:type="dxa"/>
              <w:right w:w="108"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1</w:t>
            </w:r>
          </w:p>
        </w:tc>
        <w:tc>
          <w:tcPr>
            <w:tcW w:w="649" w:type="dxa"/>
            <w:noWrap w:val="0"/>
            <w:tcMar>
              <w:top w:w="0" w:type="dxa"/>
              <w:left w:w="108" w:type="dxa"/>
              <w:bottom w:w="0" w:type="dxa"/>
              <w:right w:w="108"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2</w:t>
            </w:r>
          </w:p>
        </w:tc>
        <w:tc>
          <w:tcPr>
            <w:tcW w:w="649" w:type="dxa"/>
            <w:noWrap w:val="0"/>
            <w:tcMar>
              <w:top w:w="0" w:type="dxa"/>
              <w:left w:w="108" w:type="dxa"/>
              <w:bottom w:w="0" w:type="dxa"/>
              <w:right w:w="108"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50" w:type="dxa"/>
            <w:noWrap w:val="0"/>
            <w:tcMar>
              <w:top w:w="0" w:type="dxa"/>
              <w:left w:w="108" w:type="dxa"/>
              <w:bottom w:w="0" w:type="dxa"/>
              <w:right w:w="108"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50" w:type="dxa"/>
            <w:noWrap w:val="0"/>
            <w:tcMar>
              <w:top w:w="0" w:type="dxa"/>
              <w:left w:w="108" w:type="dxa"/>
              <w:bottom w:w="0" w:type="dxa"/>
              <w:right w:w="108"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50" w:type="dxa"/>
            <w:noWrap w:val="0"/>
            <w:tcMar>
              <w:top w:w="0" w:type="dxa"/>
              <w:left w:w="108" w:type="dxa"/>
              <w:bottom w:w="0" w:type="dxa"/>
              <w:right w:w="108"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51" w:type="dxa"/>
            <w:noWrap w:val="0"/>
            <w:tcMar>
              <w:top w:w="0" w:type="dxa"/>
              <w:left w:w="108" w:type="dxa"/>
              <w:bottom w:w="0" w:type="dxa"/>
              <w:right w:w="108"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51" w:type="dxa"/>
            <w:noWrap w:val="0"/>
            <w:tcMar>
              <w:top w:w="0" w:type="dxa"/>
              <w:left w:w="108" w:type="dxa"/>
              <w:bottom w:w="0" w:type="dxa"/>
              <w:right w:w="108"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1</w:t>
            </w:r>
          </w:p>
        </w:tc>
        <w:tc>
          <w:tcPr>
            <w:tcW w:w="651" w:type="dxa"/>
            <w:noWrap w:val="0"/>
            <w:tcMar>
              <w:top w:w="0" w:type="dxa"/>
              <w:left w:w="108" w:type="dxa"/>
              <w:bottom w:w="0" w:type="dxa"/>
              <w:right w:w="108"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51" w:type="dxa"/>
            <w:noWrap w:val="0"/>
            <w:tcMar>
              <w:top w:w="0" w:type="dxa"/>
              <w:left w:w="108" w:type="dxa"/>
              <w:bottom w:w="0" w:type="dxa"/>
              <w:right w:w="108"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rFonts w:hint="default" w:ascii="Times New Roman" w:hAnsi="Times New Roman" w:eastAsia="仿宋_GB2312" w:cs="Times New Roman"/>
                <w:kern w:val="2"/>
                <w:sz w:val="24"/>
                <w:szCs w:val="24"/>
                <w:lang w:val="en-US" w:eastAsia="zh-CN" w:bidi="ar-SA"/>
              </w:rPr>
            </w:pPr>
            <w:r>
              <w:rPr>
                <w:rFonts w:hint="eastAsia"/>
                <w:sz w:val="24"/>
                <w:lang w:val="en-US" w:eastAsia="zh-CN"/>
              </w:rPr>
              <w:t>1</w:t>
            </w:r>
          </w:p>
        </w:tc>
      </w:tr>
    </w:tbl>
    <w:p>
      <w:pPr>
        <w:shd w:val="clear" w:color="auto" w:fill="FFFFFF"/>
        <w:ind w:firstLine="643" w:firstLineChars="200"/>
        <w:rPr>
          <w:rFonts w:eastAsia="黑体"/>
          <w:b/>
          <w:bCs/>
          <w:color w:val="333333"/>
        </w:rPr>
      </w:pPr>
      <w:r>
        <w:rPr>
          <w:rFonts w:eastAsia="黑体"/>
          <w:b/>
          <w:bCs/>
          <w:color w:val="333333"/>
        </w:rPr>
        <w:t>五、存在的主要问题及改进情况</w:t>
      </w:r>
    </w:p>
    <w:p>
      <w:pPr>
        <w:widowControl/>
        <w:ind w:firstLine="640" w:firstLineChars="200"/>
        <w:textAlignment w:val="baseline"/>
        <w:rPr>
          <w:rFonts w:hint="eastAsia" w:ascii="仿宋_GB2312" w:hAnsi="仿宋_GB2312" w:eastAsia="仿宋_GB2312" w:cs="仿宋_GB2312"/>
          <w:color w:val="auto"/>
          <w:sz w:val="32"/>
          <w:szCs w:val="32"/>
        </w:rPr>
      </w:pPr>
      <w:r>
        <w:rPr>
          <w:rFonts w:hint="eastAsia" w:ascii="仿宋" w:hAnsi="仿宋" w:eastAsia="仿宋" w:cs="仿宋"/>
          <w:bCs/>
          <w:color w:val="auto"/>
          <w:sz w:val="32"/>
          <w:szCs w:val="32"/>
          <w:u w:val="none"/>
          <w:lang w:val="en-US" w:eastAsia="zh-CN"/>
        </w:rPr>
        <w:t>2023年，我街道政府信息公开工作推进有条不紊，稳中有进，但仍存在一些短板和不足，主要如下：</w:t>
      </w:r>
      <w:r>
        <w:rPr>
          <w:rFonts w:hint="default" w:ascii="仿宋" w:hAnsi="仿宋" w:eastAsia="仿宋" w:cs="仿宋"/>
          <w:bCs/>
          <w:color w:val="auto"/>
          <w:kern w:val="2"/>
          <w:sz w:val="32"/>
          <w:szCs w:val="32"/>
          <w:u w:val="none"/>
          <w:lang w:val="en-US" w:eastAsia="zh-CN" w:bidi="ar-SA"/>
        </w:rPr>
        <w:t>（一）政府信息公开</w:t>
      </w:r>
      <w:r>
        <w:rPr>
          <w:rFonts w:hint="eastAsia" w:ascii="仿宋" w:hAnsi="仿宋" w:eastAsia="仿宋" w:cs="仿宋"/>
          <w:bCs/>
          <w:color w:val="auto"/>
          <w:kern w:val="2"/>
          <w:sz w:val="32"/>
          <w:szCs w:val="32"/>
          <w:u w:val="none"/>
          <w:lang w:val="en-US" w:eastAsia="zh-CN" w:bidi="ar-SA"/>
        </w:rPr>
        <w:t>的</w:t>
      </w:r>
      <w:r>
        <w:rPr>
          <w:rFonts w:hint="default" w:ascii="仿宋" w:hAnsi="仿宋" w:eastAsia="仿宋" w:cs="仿宋"/>
          <w:bCs/>
          <w:color w:val="auto"/>
          <w:kern w:val="2"/>
          <w:sz w:val="32"/>
          <w:szCs w:val="32"/>
          <w:u w:val="none"/>
          <w:lang w:val="en-US" w:eastAsia="zh-CN" w:bidi="ar-SA"/>
        </w:rPr>
        <w:t>力度有待加强。主动公开的信息数量不够多，</w:t>
      </w:r>
      <w:r>
        <w:rPr>
          <w:rFonts w:hint="eastAsia" w:ascii="仿宋" w:hAnsi="仿宋" w:eastAsia="仿宋" w:cs="仿宋"/>
          <w:bCs/>
          <w:color w:val="auto"/>
          <w:kern w:val="2"/>
          <w:sz w:val="32"/>
          <w:szCs w:val="32"/>
          <w:u w:val="none"/>
          <w:lang w:val="en-US" w:eastAsia="zh-CN" w:bidi="ar-SA"/>
        </w:rPr>
        <w:t>且方式主要是</w:t>
      </w:r>
      <w:r>
        <w:rPr>
          <w:rFonts w:hint="default" w:ascii="仿宋" w:hAnsi="仿宋" w:eastAsia="仿宋" w:cs="仿宋"/>
          <w:bCs/>
          <w:color w:val="auto"/>
          <w:kern w:val="2"/>
          <w:sz w:val="32"/>
          <w:szCs w:val="32"/>
          <w:u w:val="none"/>
          <w:lang w:val="en-US" w:eastAsia="zh-CN" w:bidi="ar-SA"/>
        </w:rPr>
        <w:t>从</w:t>
      </w:r>
      <w:r>
        <w:rPr>
          <w:rFonts w:hint="eastAsia" w:ascii="仿宋" w:hAnsi="仿宋" w:eastAsia="仿宋" w:cs="仿宋"/>
          <w:bCs/>
          <w:color w:val="auto"/>
          <w:kern w:val="2"/>
          <w:sz w:val="32"/>
          <w:szCs w:val="32"/>
          <w:u w:val="none"/>
          <w:lang w:val="en-US" w:eastAsia="zh-CN" w:bidi="ar-SA"/>
        </w:rPr>
        <w:t>门户</w:t>
      </w:r>
      <w:r>
        <w:rPr>
          <w:rFonts w:hint="default" w:ascii="仿宋" w:hAnsi="仿宋" w:eastAsia="仿宋" w:cs="仿宋"/>
          <w:bCs/>
          <w:color w:val="auto"/>
          <w:kern w:val="2"/>
          <w:sz w:val="32"/>
          <w:szCs w:val="32"/>
          <w:u w:val="none"/>
          <w:lang w:val="en-US" w:eastAsia="zh-CN" w:bidi="ar-SA"/>
        </w:rPr>
        <w:t>网站上公开，其他</w:t>
      </w:r>
      <w:r>
        <w:rPr>
          <w:rFonts w:hint="eastAsia" w:ascii="仿宋" w:hAnsi="仿宋" w:eastAsia="仿宋" w:cs="仿宋"/>
          <w:bCs/>
          <w:color w:val="auto"/>
          <w:kern w:val="2"/>
          <w:sz w:val="32"/>
          <w:szCs w:val="32"/>
          <w:u w:val="none"/>
          <w:lang w:val="en-US" w:eastAsia="zh-CN" w:bidi="ar-SA"/>
        </w:rPr>
        <w:t>公开</w:t>
      </w:r>
      <w:r>
        <w:rPr>
          <w:rFonts w:hint="default" w:ascii="仿宋" w:hAnsi="仿宋" w:eastAsia="仿宋" w:cs="仿宋"/>
          <w:bCs/>
          <w:color w:val="auto"/>
          <w:kern w:val="2"/>
          <w:sz w:val="32"/>
          <w:szCs w:val="32"/>
          <w:u w:val="none"/>
          <w:lang w:val="en-US" w:eastAsia="zh-CN" w:bidi="ar-SA"/>
        </w:rPr>
        <w:t>形式不多。（二）政府信息公开的</w:t>
      </w:r>
      <w:r>
        <w:rPr>
          <w:rFonts w:hint="eastAsia" w:ascii="仿宋" w:hAnsi="仿宋" w:eastAsia="仿宋" w:cs="仿宋"/>
          <w:bCs/>
          <w:color w:val="auto"/>
          <w:kern w:val="2"/>
          <w:sz w:val="32"/>
          <w:szCs w:val="32"/>
          <w:u w:val="none"/>
          <w:lang w:val="en-US" w:eastAsia="zh-CN" w:bidi="ar-SA"/>
        </w:rPr>
        <w:t>规范</w:t>
      </w:r>
      <w:r>
        <w:rPr>
          <w:rFonts w:hint="default" w:ascii="仿宋" w:hAnsi="仿宋" w:eastAsia="仿宋" w:cs="仿宋"/>
          <w:bCs/>
          <w:color w:val="auto"/>
          <w:kern w:val="2"/>
          <w:sz w:val="32"/>
          <w:szCs w:val="32"/>
          <w:u w:val="none"/>
          <w:lang w:val="en-US" w:eastAsia="zh-CN" w:bidi="ar-SA"/>
        </w:rPr>
        <w:t>性有待提高。公开信息与公众需求存在距离，信息公开内容的完整性、及时性还有差距。</w:t>
      </w:r>
    </w:p>
    <w:p>
      <w:pPr>
        <w:ind w:firstLine="640" w:firstLineChars="200"/>
        <w:rPr>
          <w:rFonts w:hint="eastAsia" w:ascii="仿宋_GB2312" w:hAnsi="仿宋_GB2312" w:eastAsia="仿宋_GB2312" w:cs="仿宋_GB2312"/>
          <w:color w:val="auto"/>
          <w:sz w:val="32"/>
          <w:szCs w:val="32"/>
        </w:rPr>
      </w:pPr>
      <w:r>
        <w:rPr>
          <w:rFonts w:hint="eastAsia"/>
          <w:color w:val="auto"/>
        </w:rPr>
        <w:t>为此</w:t>
      </w:r>
      <w:r>
        <w:rPr>
          <w:rFonts w:hint="eastAsia"/>
          <w:color w:val="auto"/>
          <w:lang w:eastAsia="zh-CN"/>
        </w:rPr>
        <w:t>，</w:t>
      </w:r>
      <w:r>
        <w:rPr>
          <w:rFonts w:hint="eastAsia"/>
          <w:color w:val="auto"/>
        </w:rPr>
        <w:t>我街道下一步</w:t>
      </w:r>
      <w:r>
        <w:rPr>
          <w:rFonts w:hint="eastAsia"/>
          <w:color w:val="auto"/>
          <w:lang w:val="en-US" w:eastAsia="zh-CN"/>
        </w:rPr>
        <w:t>的</w:t>
      </w:r>
      <w:r>
        <w:rPr>
          <w:rFonts w:hint="eastAsia"/>
          <w:color w:val="auto"/>
        </w:rPr>
        <w:t>工作重点：</w:t>
      </w:r>
      <w:r>
        <w:rPr>
          <w:rFonts w:hint="eastAsia" w:ascii="仿宋" w:hAnsi="仿宋" w:eastAsia="仿宋" w:cs="仿宋"/>
          <w:bCs/>
          <w:color w:val="auto"/>
          <w:sz w:val="32"/>
          <w:szCs w:val="32"/>
          <w:u w:val="none"/>
          <w:lang w:val="en-US" w:eastAsia="zh-CN"/>
        </w:rPr>
        <w:t>一是加强政府信息管理，强化组织领导，规范工作流程，</w:t>
      </w:r>
      <w:r>
        <w:rPr>
          <w:rFonts w:hint="eastAsia" w:ascii="仿宋" w:hAnsi="仿宋" w:eastAsia="仿宋" w:cs="仿宋"/>
          <w:bCs/>
          <w:color w:val="000000"/>
          <w:sz w:val="32"/>
          <w:szCs w:val="32"/>
          <w:u w:val="none"/>
          <w:lang w:val="en-US" w:eastAsia="zh-CN"/>
        </w:rPr>
        <w:t>确保信息发布流程规范、内容准确</w:t>
      </w:r>
      <w:r>
        <w:rPr>
          <w:rFonts w:hint="eastAsia" w:ascii="仿宋" w:hAnsi="仿宋" w:eastAsia="仿宋" w:cs="仿宋"/>
          <w:bCs/>
          <w:color w:val="auto"/>
          <w:sz w:val="32"/>
          <w:szCs w:val="32"/>
          <w:u w:val="none"/>
          <w:lang w:val="en-US" w:eastAsia="zh-CN"/>
        </w:rPr>
        <w:t>；二是强化业务学习，提高政策发布解读质量，提高业务水平，</w:t>
      </w:r>
      <w:r>
        <w:rPr>
          <w:rFonts w:hint="eastAsia" w:ascii="仿宋" w:hAnsi="仿宋" w:eastAsia="仿宋" w:cs="仿宋"/>
          <w:bCs/>
          <w:color w:val="000000"/>
          <w:sz w:val="32"/>
          <w:szCs w:val="32"/>
          <w:u w:val="none"/>
          <w:lang w:val="en-US" w:eastAsia="zh-CN"/>
        </w:rPr>
        <w:t>常态化做好政府网站、政务新媒体的日常更新、巡查维护工作，确保信息完整、规范</w:t>
      </w:r>
      <w:r>
        <w:rPr>
          <w:rFonts w:hint="eastAsia" w:ascii="仿宋" w:hAnsi="仿宋" w:eastAsia="仿宋" w:cs="仿宋"/>
          <w:bCs/>
          <w:color w:val="auto"/>
          <w:sz w:val="32"/>
          <w:szCs w:val="32"/>
          <w:u w:val="none"/>
          <w:lang w:val="en-US" w:eastAsia="zh-CN"/>
        </w:rPr>
        <w:t>；三是强化公开力度，提升政民互动水平，规范办理程序，</w:t>
      </w:r>
      <w:r>
        <w:rPr>
          <w:rFonts w:hint="eastAsia" w:ascii="仿宋" w:hAnsi="仿宋" w:eastAsia="仿宋" w:cs="仿宋"/>
          <w:bCs/>
          <w:color w:val="000000"/>
          <w:sz w:val="32"/>
          <w:szCs w:val="32"/>
          <w:u w:val="none"/>
          <w:lang w:val="en-US" w:eastAsia="zh-CN"/>
        </w:rPr>
        <w:t>切实保障群众的知情权、参与权、表达权和监督权。</w:t>
      </w:r>
    </w:p>
    <w:p>
      <w:pPr>
        <w:shd w:val="clear" w:color="auto" w:fill="FFFFFF"/>
        <w:ind w:firstLine="643" w:firstLineChars="200"/>
        <w:rPr>
          <w:rFonts w:eastAsia="黑体"/>
          <w:b/>
          <w:bCs/>
          <w:color w:val="auto"/>
        </w:rPr>
      </w:pPr>
      <w:r>
        <w:rPr>
          <w:rFonts w:eastAsia="黑体"/>
          <w:b/>
          <w:bCs/>
          <w:color w:val="auto"/>
        </w:rPr>
        <w:t>六、其他需要报告的事项</w:t>
      </w:r>
    </w:p>
    <w:p>
      <w:pPr>
        <w:ind w:firstLine="640" w:firstLineChars="200"/>
        <w:rPr>
          <w:rFonts w:hint="eastAsia"/>
        </w:rPr>
      </w:pPr>
      <w:r>
        <w:rPr>
          <w:rFonts w:hint="eastAsia"/>
          <w:lang w:val="en-US" w:eastAsia="zh-CN"/>
        </w:rPr>
        <w:t>2023年度，</w:t>
      </w:r>
      <w:r>
        <w:rPr>
          <w:rFonts w:hint="eastAsia"/>
          <w:lang w:eastAsia="zh-CN"/>
        </w:rPr>
        <w:t>本单位</w:t>
      </w:r>
      <w:r>
        <w:rPr>
          <w:rFonts w:hint="eastAsia"/>
        </w:rPr>
        <w:t>无其他</w:t>
      </w:r>
      <w:r>
        <w:rPr>
          <w:rFonts w:hint="eastAsia"/>
          <w:lang w:eastAsia="zh-CN"/>
        </w:rPr>
        <w:t>需要</w:t>
      </w:r>
      <w:r>
        <w:rPr>
          <w:rFonts w:hint="eastAsia"/>
        </w:rPr>
        <w:t>报告事项，无收取信息处理费情况。</w:t>
      </w:r>
    </w:p>
    <w:p>
      <w:pPr>
        <w:shd w:val="clear" w:color="auto" w:fill="FFFFFF"/>
        <w:ind w:firstLine="480"/>
        <w:rPr>
          <w:color w:val="333333"/>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18B84C"/>
    <w:multiLevelType w:val="singleLevel"/>
    <w:tmpl w:val="1918B84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1NWI0ZjU4ODk4YmU5ZGQ4MjE2YmMzMzc2NDZjZmYifQ=="/>
  </w:docVars>
  <w:rsids>
    <w:rsidRoot w:val="6C7F4680"/>
    <w:rsid w:val="06190BFA"/>
    <w:rsid w:val="06345E06"/>
    <w:rsid w:val="0C6D3E1F"/>
    <w:rsid w:val="108A327C"/>
    <w:rsid w:val="1120002F"/>
    <w:rsid w:val="124760D9"/>
    <w:rsid w:val="1E8D3D30"/>
    <w:rsid w:val="1FB915CB"/>
    <w:rsid w:val="1FBC0955"/>
    <w:rsid w:val="22651613"/>
    <w:rsid w:val="3754668C"/>
    <w:rsid w:val="40707630"/>
    <w:rsid w:val="411F4489"/>
    <w:rsid w:val="478838F1"/>
    <w:rsid w:val="533A2657"/>
    <w:rsid w:val="53C23382"/>
    <w:rsid w:val="62391CA2"/>
    <w:rsid w:val="6C7F4680"/>
    <w:rsid w:val="6DD64399"/>
    <w:rsid w:val="739B5A2E"/>
    <w:rsid w:val="752179BB"/>
    <w:rsid w:val="77362412"/>
    <w:rsid w:val="7B6C4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2168</Words>
  <Characters>2250</Characters>
  <Lines>0</Lines>
  <Paragraphs>0</Paragraphs>
  <TotalTime>15</TotalTime>
  <ScaleCrop>false</ScaleCrop>
  <LinksUpToDate>false</LinksUpToDate>
  <CharactersWithSpaces>2250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2022-12-30T08:50:00Z</dcterms:created>
  <dc:creator>Administrator</dc:creator>
  <cp:lastModifiedBy>linli</cp:lastModifiedBy>
  <dcterms:modified xsi:type="dcterms:W3CDTF">2024-01-12T08:12:44Z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DFB88311570A4651B3A1C6C6BB25E593</vt:lpwstr>
  </property>
</Properties>
</file>