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ascii="方正小标宋简体" w:eastAsia="方正小标宋简体" w:cs="方正小标宋简体" w:hAnsi="方正小标宋简体" w:hint="eastAsia"/>
          <w:color w:val="000000"/>
          <w:kern w:val="0"/>
          <w:sz w:val="44"/>
          <w:szCs w:val="44"/>
          <w:highlight w:val="auto"/>
        </w:rPr>
      </w:pPr>
      <w:r>
        <w:rPr>
          <w:rFonts w:ascii="方正小标宋简体" w:eastAsia="方正小标宋简体" w:cs="方正小标宋简体" w:hAnsi="方正小标宋简体" w:hint="eastAsia"/>
          <w:color w:val="000000"/>
          <w:kern w:val="0"/>
          <w:sz w:val="44"/>
          <w:szCs w:val="44"/>
          <w:highlight w:val="auto"/>
        </w:rPr>
        <w:t>乐清市金融工作服务中心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ascii="方正小标宋简体" w:eastAsia="方正小标宋简体" w:cs="方正小标宋简体" w:hAnsi="方正小标宋简体"/>
          <w:color w:val="000000"/>
          <w:kern w:val="0"/>
          <w:sz w:val="44"/>
          <w:szCs w:val="44"/>
          <w:highlight w:val="auto"/>
        </w:rPr>
      </w:pPr>
      <w:r>
        <w:rPr>
          <w:rFonts w:ascii="方正小标宋简体" w:eastAsia="方正小标宋简体" w:cs="方正小标宋简体" w:hAnsi="方正小标宋简体" w:hint="eastAsia"/>
          <w:color w:val="000000"/>
          <w:kern w:val="0"/>
          <w:sz w:val="44"/>
          <w:szCs w:val="44"/>
          <w:lang w:val="en-US" w:eastAsia="zh-CN"/>
          <w:highlight w:val="auto"/>
        </w:rPr>
        <w:t>202</w:t>
      </w:r>
      <w:r>
        <w:rPr>
          <w:rFonts w:ascii="方正小标宋简体" w:eastAsia="方正小标宋简体" w:cs="方正小标宋简体" w:hAnsi="方正小标宋简体"/>
          <w:color w:val="000000"/>
          <w:kern w:val="0"/>
          <w:sz w:val="44"/>
          <w:szCs w:val="44"/>
          <w:lang w:val="en-US" w:eastAsia="zh-CN"/>
          <w:highlight w:val="auto"/>
        </w:rPr>
        <w:t>2</w:t>
      </w:r>
      <w:r>
        <w:rPr>
          <w:rFonts w:ascii="方正小标宋简体" w:eastAsia="方正小标宋简体" w:cs="方正小标宋简体" w:hAnsi="方正小标宋简体" w:hint="eastAsia"/>
          <w:color w:val="000000"/>
          <w:kern w:val="0"/>
          <w:sz w:val="44"/>
          <w:szCs w:val="44"/>
          <w:highlight w:val="auto"/>
        </w:rPr>
        <w:t>年政府信息公开工作年度报告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Chars="200" w:firstLine="480"/>
        <w:textAlignment w:val="auto"/>
        <w:rPr>
          <w:rFonts w:ascii="Times New Roman" w:cs="Times New Roman" w:hAnsi="Times New Roman"/>
          <w:color w:val="333333"/>
          <w:kern w:val="0"/>
          <w:sz w:val="24"/>
          <w:szCs w:val="24"/>
          <w:highlight w:val="auto"/>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Chars="200" w:firstLine="640"/>
        <w:textAlignment w:val="auto"/>
        <w:rPr>
          <w:rFonts w:ascii="Times New Roman" w:eastAsia="仿宋_GB2312" w:cs="Times New Roman" w:hAnsi="Times New Roman"/>
          <w:color w:val="333333"/>
          <w:kern w:val="0"/>
          <w:sz w:val="32"/>
          <w:szCs w:val="32"/>
          <w:highlight w:val="auto"/>
        </w:rPr>
      </w:pPr>
      <w:r>
        <w:rPr>
          <w:rFonts w:ascii="Times New Roman" w:eastAsia="仿宋_GB2312" w:cs="Times New Roman" w:hAnsi="Times New Roman"/>
          <w:color w:val="333333"/>
          <w:kern w:val="0"/>
          <w:sz w:val="32"/>
          <w:szCs w:val="32"/>
          <w:highlight w:val="auto"/>
        </w:rPr>
        <w:t>根据《中华人民共和国政府信息公开条例》（国务院令第711号）、《浙江省政府信息公开暂行办法》规定和《国务院办公厅政府信息与政务公开办公室关于政府信息公开工作年度报告有关事项的通知》（国办公开办函〔2019〕60号）要求，编制本机关202</w:t>
      </w:r>
      <w:r>
        <w:rPr>
          <w:rFonts w:ascii="Times New Roman" w:eastAsia="仿宋_GB2312" w:cs="Times New Roman" w:hAnsi="Times New Roman"/>
          <w:color w:val="333333"/>
          <w:kern w:val="0"/>
          <w:sz w:val="32"/>
          <w:szCs w:val="32"/>
          <w:highlight w:val="auto"/>
        </w:rPr>
        <w:t>2</w:t>
      </w:r>
      <w:r>
        <w:rPr>
          <w:rFonts w:ascii="Times New Roman" w:eastAsia="仿宋_GB2312" w:cs="Times New Roman" w:hAnsi="Times New Roman"/>
          <w:color w:val="333333"/>
          <w:kern w:val="0"/>
          <w:sz w:val="32"/>
          <w:szCs w:val="32"/>
          <w:highlight w:val="auto"/>
        </w:rPr>
        <w:t>年度政府信息公开年度报告并向社会公布。本报告中所列数据统计期限为202</w:t>
      </w:r>
      <w:r>
        <w:rPr>
          <w:rFonts w:ascii="Times New Roman" w:eastAsia="仿宋_GB2312" w:cs="Times New Roman" w:hAnsi="Times New Roman"/>
          <w:color w:val="333333"/>
          <w:kern w:val="0"/>
          <w:sz w:val="32"/>
          <w:szCs w:val="32"/>
          <w:highlight w:val="auto"/>
        </w:rPr>
        <w:t>2</w:t>
      </w:r>
      <w:r>
        <w:rPr>
          <w:rFonts w:ascii="Times New Roman" w:eastAsia="仿宋_GB2312" w:cs="Times New Roman" w:hAnsi="Times New Roman"/>
          <w:color w:val="333333"/>
          <w:kern w:val="0"/>
          <w:sz w:val="32"/>
          <w:szCs w:val="32"/>
          <w:highlight w:val="auto"/>
        </w:rPr>
        <w:t>年1月1日至12月31日。本报告的电子版可在“中国·乐清”市政府门户网站（www.yueqing.gov.cn）下载。如对报告内容有疑问，请与乐清市金融工作服务中心综合科联系（地址：乐清市伯乐东路888号行政管理中心C409；邮编：325600；电话：0577-61880519；电子邮件：yqsjrb@126.com）。</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Chars="200" w:firstLine="640"/>
        <w:textAlignment w:val="auto"/>
        <w:rPr>
          <w:rFonts w:ascii="Times New Roman" w:eastAsia="黑体" w:cs="Times New Roman" w:hAnsi="Times New Roman"/>
          <w:b w:val="0"/>
          <w:bCs w:val="0"/>
          <w:color w:val="333333"/>
          <w:kern w:val="0"/>
          <w:sz w:val="32"/>
          <w:szCs w:val="32"/>
          <w:highlight w:val="auto"/>
        </w:rPr>
      </w:pPr>
      <w:r>
        <w:rPr>
          <w:rFonts w:ascii="Times New Roman" w:eastAsia="黑体" w:cs="Times New Roman" w:hAnsi="Times New Roman"/>
          <w:b w:val="0"/>
          <w:bCs w:val="0"/>
          <w:color w:val="333333"/>
          <w:kern w:val="0"/>
          <w:sz w:val="32"/>
          <w:szCs w:val="32"/>
          <w:highlight w:val="auto"/>
        </w:rPr>
        <w:t>一、总体情况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Chars="200" w:firstLine="640"/>
        <w:textAlignment w:val="auto"/>
        <w:rPr>
          <w:rFonts w:ascii="Times New Roman" w:eastAsia="仿宋_GB2312" w:cs="Times New Roman" w:hAnsi="Times New Roman"/>
          <w:color w:val="333333"/>
          <w:kern w:val="0"/>
          <w:sz w:val="32"/>
          <w:szCs w:val="32"/>
          <w:highlight w:val="auto"/>
        </w:rPr>
      </w:pPr>
      <w:r>
        <w:rPr>
          <w:rFonts w:ascii="Times New Roman" w:eastAsia="仿宋_GB2312" w:cs="Times New Roman" w:hAnsi="Times New Roman"/>
          <w:color w:val="333333"/>
          <w:kern w:val="0"/>
          <w:sz w:val="32"/>
          <w:szCs w:val="32"/>
          <w:highlight w:val="auto"/>
        </w:rPr>
        <w:t>202</w:t>
      </w:r>
      <w:r>
        <w:rPr>
          <w:rFonts w:ascii="Times New Roman" w:eastAsia="仿宋_GB2312" w:cs="Times New Roman" w:hAnsi="Times New Roman"/>
          <w:color w:val="333333"/>
          <w:kern w:val="0"/>
          <w:sz w:val="32"/>
          <w:szCs w:val="32"/>
          <w:lang w:val="en-US" w:eastAsia="zh-CN"/>
          <w:highlight w:val="auto"/>
        </w:rPr>
        <w:t>2</w:t>
      </w:r>
      <w:r>
        <w:rPr>
          <w:rFonts w:ascii="Times New Roman" w:eastAsia="仿宋_GB2312" w:cs="Times New Roman" w:hAnsi="Times New Roman"/>
          <w:color w:val="333333"/>
          <w:kern w:val="0"/>
          <w:sz w:val="32"/>
          <w:szCs w:val="32"/>
          <w:highlight w:val="auto"/>
        </w:rPr>
        <w:t>年，我</w:t>
      </w:r>
      <w:r>
        <w:rPr>
          <w:rFonts w:ascii="Times New Roman" w:eastAsia="仿宋_GB2312" w:cs="Times New Roman" w:hAnsi="Times New Roman"/>
          <w:color w:val="333333"/>
          <w:kern w:val="0"/>
          <w:sz w:val="32"/>
          <w:szCs w:val="32"/>
          <w:lang w:eastAsia="zh-CN"/>
          <w:highlight w:val="auto"/>
        </w:rPr>
        <w:t>中心</w:t>
      </w:r>
      <w:r>
        <w:rPr>
          <w:rFonts w:ascii="Times New Roman" w:eastAsia="仿宋_GB2312" w:cs="Times New Roman" w:hAnsi="Times New Roman"/>
          <w:color w:val="333333"/>
          <w:kern w:val="0"/>
          <w:sz w:val="32"/>
          <w:szCs w:val="32"/>
          <w:highlight w:val="auto"/>
        </w:rPr>
        <w:t>政务公开工作认真贯彻《中华人民共和国政府信息公开条例》，</w:t>
      </w:r>
      <w:r>
        <w:rPr>
          <w:rFonts w:ascii="Times New Roman" w:eastAsia="仿宋_GB2312" w:cs="Times New Roman" w:hAnsi="Times New Roman"/>
          <w:i w:val="0"/>
          <w:iCs w:val="0"/>
          <w:caps w:val="0"/>
          <w:smallCaps w:val="0"/>
          <w:color w:val="auto"/>
          <w:spacing w:val="0"/>
          <w:sz w:val="32"/>
          <w:szCs w:val="32"/>
          <w:shd w:val="clear" w:color="auto" w:fill="FFFFFF"/>
          <w:lang w:val="en-US" w:eastAsia="zh-CN"/>
          <w:highlight w:val="auto"/>
        </w:rPr>
        <w:t>深入学习贯彻党的十九大和历次全会精神、党的二十大精神</w:t>
      </w:r>
      <w:r>
        <w:rPr>
          <w:rFonts w:ascii="Times New Roman" w:eastAsia="仿宋_GB2312" w:cs="Times New Roman" w:hAnsi="Times New Roman"/>
          <w:color w:val="333333"/>
          <w:kern w:val="0"/>
          <w:sz w:val="32"/>
          <w:szCs w:val="32"/>
          <w:lang w:eastAsia="zh-CN"/>
          <w:highlight w:val="auto"/>
        </w:rPr>
        <w:t>，严格</w:t>
      </w:r>
      <w:r>
        <w:rPr>
          <w:rFonts w:ascii="Times New Roman" w:eastAsia="仿宋_GB2312" w:cs="Times New Roman" w:hAnsi="Times New Roman"/>
          <w:color w:val="333333"/>
          <w:kern w:val="0"/>
          <w:sz w:val="32"/>
          <w:szCs w:val="32"/>
          <w:highlight w:val="auto"/>
        </w:rPr>
        <w:t>按照市委、市政府</w:t>
      </w:r>
      <w:r>
        <w:rPr>
          <w:rFonts w:ascii="Times New Roman" w:eastAsia="仿宋_GB2312" w:cs="Times New Roman" w:hAnsi="Times New Roman"/>
          <w:color w:val="333333"/>
          <w:kern w:val="0"/>
          <w:sz w:val="32"/>
          <w:szCs w:val="32"/>
          <w:lang w:eastAsia="zh-CN"/>
          <w:highlight w:val="auto"/>
        </w:rPr>
        <w:t>决策部署</w:t>
      </w:r>
      <w:r>
        <w:rPr>
          <w:rFonts w:ascii="Times New Roman" w:eastAsia="仿宋_GB2312" w:cs="Times New Roman" w:hAnsi="Times New Roman"/>
          <w:color w:val="333333"/>
          <w:kern w:val="0"/>
          <w:sz w:val="32"/>
          <w:szCs w:val="32"/>
          <w:highlight w:val="auto"/>
        </w:rPr>
        <w:t>，切实加强组织领导，建立健全工作机制，依法推进政府信息公开，</w:t>
      </w:r>
      <w:r>
        <w:rPr>
          <w:rFonts w:ascii="Times New Roman" w:eastAsia="仿宋_GB2312" w:cs="Times New Roman" w:hAnsi="Times New Roman"/>
          <w:color w:val="333333"/>
          <w:kern w:val="0"/>
          <w:sz w:val="32"/>
          <w:szCs w:val="32"/>
          <w:lang w:eastAsia="zh-CN"/>
          <w:highlight w:val="auto"/>
        </w:rPr>
        <w:t>取得了一定工作成效。</w:t>
      </w:r>
      <w:r>
        <w:rPr>
          <w:rFonts w:ascii="Times New Roman" w:eastAsia="仿宋_GB2312" w:cs="Times New Roman" w:hAnsi="Times New Roman"/>
          <w:color w:val="333333"/>
          <w:kern w:val="0"/>
          <w:sz w:val="32"/>
          <w:szCs w:val="32"/>
          <w:highlight w:val="auto"/>
        </w:rPr>
        <w:t>现将我</w:t>
      </w:r>
      <w:r>
        <w:rPr>
          <w:rFonts w:cs="Times New Roman" w:hint="eastAsia"/>
          <w:color w:val="333333"/>
          <w:kern w:val="0"/>
          <w:sz w:val="32"/>
          <w:szCs w:val="32"/>
          <w:lang w:eastAsia="zh-CN"/>
          <w:highlight w:val="auto"/>
        </w:rPr>
        <w:t>中心</w:t>
      </w:r>
      <w:r>
        <w:rPr>
          <w:rFonts w:ascii="Times New Roman" w:eastAsia="仿宋_GB2312" w:cs="Times New Roman" w:hAnsi="Times New Roman"/>
          <w:color w:val="333333"/>
          <w:kern w:val="0"/>
          <w:sz w:val="32"/>
          <w:szCs w:val="32"/>
          <w:highlight w:val="auto"/>
        </w:rPr>
        <w:t>20</w:t>
      </w:r>
      <w:r>
        <w:rPr>
          <w:rFonts w:ascii="Times New Roman" w:eastAsia="仿宋_GB2312" w:cs="Times New Roman" w:hAnsi="Times New Roman"/>
          <w:color w:val="333333"/>
          <w:kern w:val="0"/>
          <w:sz w:val="32"/>
          <w:szCs w:val="32"/>
          <w:highlight w:val="auto"/>
        </w:rPr>
        <w:t>22</w:t>
      </w:r>
      <w:r>
        <w:rPr>
          <w:rFonts w:ascii="Times New Roman" w:eastAsia="仿宋_GB2312" w:cs="Times New Roman" w:hAnsi="Times New Roman"/>
          <w:color w:val="333333"/>
          <w:kern w:val="0"/>
          <w:sz w:val="32"/>
          <w:szCs w:val="32"/>
          <w:highlight w:val="auto"/>
        </w:rPr>
        <w:t>年度信息公开工作开展情况报告如下：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Chars="200" w:firstLine="640"/>
        <w:textAlignment w:val="auto"/>
        <w:rPr>
          <w:rFonts w:ascii="楷体" w:eastAsia="楷体" w:cs="楷体" w:hAnsi="楷体" w:hint="eastAsia"/>
          <w:color w:val="333333"/>
          <w:kern w:val="0"/>
          <w:sz w:val="32"/>
          <w:szCs w:val="32"/>
          <w:highlight w:val="auto"/>
        </w:rPr>
      </w:pPr>
      <w:r>
        <w:rPr>
          <w:rFonts w:ascii="楷体" w:eastAsia="楷体" w:cs="楷体" w:hAnsi="楷体" w:hint="eastAsia"/>
          <w:color w:val="333333"/>
          <w:kern w:val="0"/>
          <w:sz w:val="32"/>
          <w:szCs w:val="32"/>
          <w:highlight w:val="auto"/>
        </w:rPr>
        <w:t>（一）主动公开信息工作情况</w:t>
      </w:r>
    </w:p>
    <w:p>
      <w:pPr>
        <w:pStyle w:val="18"/>
        <w:keepNext w:val="0"/>
        <w:keepLines w:val="0"/>
        <w:pageBreakBefore w:val="0"/>
        <w:widowControl w:val="0"/>
        <w:kinsoku/>
        <w:wordWrap/>
        <w:overflowPunct/>
        <w:topLinePunct w:val="0"/>
        <w:autoSpaceDE w:val="0"/>
        <w:autoSpaceDN w:val="0"/>
        <w:bidi w:val="0"/>
        <w:adjustRightInd w:val="0"/>
        <w:snapToGrid/>
        <w:spacing w:line="560" w:lineRule="exact"/>
        <w:ind w:firstLineChars="200" w:firstLine="640"/>
        <w:jc w:val="both"/>
        <w:textAlignment w:val="auto"/>
        <w:rPr>
          <w:rFonts w:ascii="Times New Roman" w:eastAsia="仿宋_GB2312" w:cs="Times New Roman" w:hAnsi="Times New Roman"/>
          <w:color w:val="333333"/>
          <w:kern w:val="0"/>
          <w:sz w:val="32"/>
          <w:szCs w:val="32"/>
          <w:highlight w:val="auto"/>
        </w:rPr>
      </w:pPr>
      <w:r>
        <w:rPr>
          <w:rFonts w:ascii="Times New Roman" w:eastAsia="仿宋_GB2312" w:cs="Times New Roman" w:hAnsi="Times New Roman"/>
          <w:color w:val="333333"/>
          <w:kern w:val="0"/>
          <w:sz w:val="32"/>
          <w:szCs w:val="32"/>
          <w:highlight w:val="auto"/>
        </w:rPr>
        <w:t>结合</w:t>
      </w:r>
      <w:r>
        <w:rPr>
          <w:rFonts w:ascii="仿宋_GB2312" w:eastAsia="仿宋_GB2312" w:cs="仿宋_GB2312" w:hAnsi="仿宋_GB2312" w:hint="eastAsia"/>
          <w:color w:val="333333"/>
          <w:kern w:val="0"/>
          <w:sz w:val="32"/>
          <w:szCs w:val="32"/>
          <w:lang w:eastAsia="zh-CN"/>
          <w:highlight w:val="auto"/>
        </w:rPr>
        <w:t>金融工作服务中心</w:t>
      </w:r>
      <w:r>
        <w:rPr>
          <w:rFonts w:ascii="Times New Roman" w:eastAsia="仿宋_GB2312" w:cs="Times New Roman" w:hAnsi="Times New Roman"/>
          <w:color w:val="333333"/>
          <w:kern w:val="0"/>
          <w:sz w:val="32"/>
          <w:szCs w:val="32"/>
          <w:highlight w:val="auto"/>
        </w:rPr>
        <w:t>工作的需要和特点，我</w:t>
      </w:r>
      <w:r>
        <w:rPr>
          <w:rFonts w:ascii="仿宋_GB2312" w:eastAsia="仿宋_GB2312" w:cs="仿宋_GB2312" w:hAnsi="仿宋_GB2312" w:hint="eastAsia"/>
          <w:color w:val="333333"/>
          <w:kern w:val="0"/>
          <w:sz w:val="32"/>
          <w:szCs w:val="32"/>
          <w:lang w:eastAsia="zh-CN"/>
          <w:highlight w:val="auto"/>
        </w:rPr>
        <w:t>中心</w:t>
      </w:r>
      <w:r>
        <w:rPr>
          <w:rFonts w:ascii="仿宋_GB2312" w:eastAsia="仿宋_GB2312" w:cs="仿宋_GB2312" w:hAnsi="仿宋_GB2312" w:hint="eastAsia"/>
          <w:color w:val="333333"/>
          <w:kern w:val="0"/>
          <w:sz w:val="32"/>
          <w:szCs w:val="32"/>
          <w:highlight w:val="auto"/>
        </w:rPr>
        <w:t>202</w:t>
      </w:r>
      <w:r>
        <w:rPr>
          <w:rFonts w:ascii="仿宋_GB2312" w:eastAsia="仿宋_GB2312" w:cs="仿宋_GB2312" w:hAnsi="仿宋_GB2312"/>
          <w:color w:val="333333"/>
          <w:kern w:val="0"/>
          <w:sz w:val="32"/>
          <w:szCs w:val="32"/>
          <w:highlight w:val="auto"/>
        </w:rPr>
        <w:t>2</w:t>
      </w:r>
      <w:r>
        <w:rPr>
          <w:rFonts w:ascii="仿宋_GB2312" w:eastAsia="仿宋_GB2312" w:cs="仿宋_GB2312" w:hAnsi="仿宋_GB2312" w:hint="eastAsia"/>
          <w:color w:val="333333"/>
          <w:kern w:val="0"/>
          <w:sz w:val="32"/>
          <w:szCs w:val="32"/>
          <w:highlight w:val="auto"/>
        </w:rPr>
        <w:t>年度通过</w:t>
      </w:r>
      <w:r>
        <w:rPr>
          <w:rFonts w:ascii="仿宋_GB2312" w:eastAsia="仿宋_GB2312" w:cs="仿宋_GB2312" w:hAnsi="仿宋_GB2312" w:hint="eastAsia"/>
          <w:color w:val="333333"/>
          <w:kern w:val="0"/>
          <w:sz w:val="32"/>
          <w:szCs w:val="32"/>
          <w:lang w:eastAsia="zh-CN"/>
          <w:highlight w:val="auto"/>
        </w:rPr>
        <w:t>乐清</w:t>
      </w:r>
      <w:r>
        <w:rPr>
          <w:rFonts w:ascii="仿宋_GB2312" w:eastAsia="仿宋_GB2312" w:cs="仿宋_GB2312" w:hAnsi="仿宋_GB2312" w:hint="eastAsia"/>
          <w:color w:val="333333"/>
          <w:kern w:val="0"/>
          <w:sz w:val="32"/>
          <w:szCs w:val="32"/>
          <w:highlight w:val="auto"/>
        </w:rPr>
        <w:t>公务网门户网站主动、及时发布和更新政务信</w:t>
      </w:r>
      <w:r>
        <w:rPr>
          <w:rFonts w:ascii="Times New Roman" w:eastAsia="仿宋_GB2312" w:cs="Times New Roman" w:hAnsi="Times New Roman"/>
          <w:color w:val="333333"/>
          <w:kern w:val="0"/>
          <w:sz w:val="32"/>
          <w:szCs w:val="32"/>
          <w:highlight w:val="auto"/>
        </w:rPr>
        <w:t>息，</w:t>
      </w:r>
      <w:r>
        <w:rPr>
          <w:rFonts w:ascii="Times New Roman" w:eastAsia="仿宋_GB2312" w:cs="Times New Roman" w:hAnsi="Times New Roman"/>
          <w:sz w:val="32"/>
          <w:szCs w:val="32"/>
          <w:highlight w:val="auto"/>
        </w:rPr>
        <w:t>20</w:t>
      </w:r>
      <w:r>
        <w:rPr>
          <w:rFonts w:ascii="Times New Roman" w:eastAsia="仿宋_GB2312" w:cs="Times New Roman" w:hAnsi="Times New Roman"/>
          <w:sz w:val="32"/>
          <w:szCs w:val="32"/>
          <w:lang w:val="en-US" w:eastAsia="zh-CN"/>
          <w:highlight w:val="auto"/>
        </w:rPr>
        <w:t>2</w:t>
      </w:r>
      <w:r>
        <w:rPr>
          <w:rFonts w:ascii="Times New Roman" w:eastAsia="仿宋_GB2312" w:cs="Times New Roman" w:hAnsi="Times New Roman"/>
          <w:sz w:val="32"/>
          <w:szCs w:val="32"/>
          <w:lang w:val="en-US" w:eastAsia="zh-CN"/>
          <w:highlight w:val="auto"/>
        </w:rPr>
        <w:t>2</w:t>
      </w:r>
      <w:r>
        <w:rPr>
          <w:rFonts w:ascii="Times New Roman" w:eastAsia="仿宋_GB2312" w:cs="Times New Roman" w:hAnsi="Times New Roman"/>
          <w:sz w:val="32"/>
          <w:szCs w:val="32"/>
          <w:highlight w:val="auto"/>
        </w:rPr>
        <w:t>年</w:t>
      </w:r>
      <w:r>
        <w:rPr>
          <w:rFonts w:ascii="Times New Roman" w:eastAsia="仿宋_GB2312" w:cs="Times New Roman" w:hAnsi="Times New Roman" w:hint="eastAsia"/>
          <w:sz w:val="32"/>
          <w:szCs w:val="32"/>
          <w:lang w:eastAsia="zh-CN"/>
          <w:highlight w:val="auto"/>
        </w:rPr>
        <w:t>共</w:t>
      </w:r>
      <w:r>
        <w:rPr>
          <w:rFonts w:ascii="Times New Roman" w:eastAsia="仿宋_GB2312" w:cs="Times New Roman" w:hAnsi="Times New Roman"/>
          <w:sz w:val="32"/>
          <w:szCs w:val="32"/>
          <w:highlight w:val="auto"/>
        </w:rPr>
        <w:t>主动公开政府信息</w:t>
      </w:r>
      <w:r>
        <w:rPr>
          <w:rFonts w:ascii="Times New Roman" w:eastAsia="仿宋_GB2312" w:cs="Times New Roman" w:hAnsi="Times New Roman" w:hint="eastAsia"/>
          <w:sz w:val="32"/>
          <w:szCs w:val="32"/>
          <w:lang w:val="en-US" w:eastAsia="zh-CN"/>
          <w:highlight w:val="auto"/>
        </w:rPr>
        <w:t>3</w:t>
      </w:r>
      <w:r>
        <w:rPr>
          <w:rFonts w:ascii="Times New Roman" w:eastAsia="仿宋_GB2312" w:cs="Times New Roman" w:hAnsi="Times New Roman"/>
          <w:sz w:val="32"/>
          <w:szCs w:val="32"/>
          <w:lang w:val="en-US" w:eastAsia="zh-CN"/>
          <w:highlight w:val="auto"/>
        </w:rPr>
        <w:t>2</w:t>
      </w:r>
      <w:r>
        <w:rPr>
          <w:rFonts w:ascii="Times New Roman" w:eastAsia="仿宋_GB2312" w:cs="Times New Roman" w:hAnsi="Times New Roman"/>
          <w:sz w:val="32"/>
          <w:szCs w:val="32"/>
          <w:highlight w:val="auto"/>
        </w:rPr>
        <w:t>条</w:t>
      </w:r>
      <w:r>
        <w:rPr>
          <w:rFonts w:ascii="Times New Roman" w:eastAsia="仿宋_GB2312" w:cs="Times New Roman" w:hAnsi="Times New Roman" w:hint="eastAsia"/>
          <w:sz w:val="32"/>
          <w:szCs w:val="32"/>
          <w:lang w:eastAsia="zh-CN"/>
          <w:highlight w:val="auto"/>
        </w:rPr>
        <w:t>，</w:t>
      </w:r>
      <w:r>
        <w:rPr>
          <w:rFonts w:ascii="Times New Roman" w:eastAsia="仿宋_GB2312" w:cs="Times New Roman" w:hAnsi="Times New Roman"/>
          <w:sz w:val="32"/>
          <w:szCs w:val="32"/>
          <w:highlight w:val="auto"/>
        </w:rPr>
        <w:t>其中公文类政府信息</w:t>
      </w:r>
      <w:r>
        <w:rPr>
          <w:rFonts w:ascii="Times New Roman" w:eastAsia="仿宋_GB2312" w:cs="Times New Roman" w:hAnsi="Times New Roman"/>
          <w:sz w:val="32"/>
          <w:szCs w:val="32"/>
          <w:lang w:val="en-US" w:eastAsia="zh-CN"/>
          <w:highlight w:val="auto"/>
        </w:rPr>
        <w:t>2</w:t>
      </w:r>
      <w:r>
        <w:rPr>
          <w:rFonts w:ascii="Times New Roman" w:eastAsia="仿宋_GB2312" w:cs="Times New Roman" w:hAnsi="Times New Roman"/>
          <w:sz w:val="32"/>
          <w:szCs w:val="32"/>
          <w:highlight w:val="auto"/>
        </w:rPr>
        <w:t>条，非公文类政府信息</w:t>
      </w:r>
      <w:r>
        <w:rPr>
          <w:rFonts w:ascii="Times New Roman" w:eastAsia="仿宋_GB2312" w:cs="Times New Roman" w:hAnsi="Times New Roman" w:hint="eastAsia"/>
          <w:sz w:val="32"/>
          <w:szCs w:val="32"/>
          <w:lang w:val="en-US" w:eastAsia="zh-CN"/>
          <w:highlight w:val="auto"/>
        </w:rPr>
        <w:t>3</w:t>
      </w:r>
      <w:r>
        <w:rPr>
          <w:rFonts w:ascii="Times New Roman" w:eastAsia="仿宋_GB2312" w:cs="Times New Roman" w:hAnsi="Times New Roman"/>
          <w:sz w:val="32"/>
          <w:szCs w:val="32"/>
          <w:lang w:val="en-US" w:eastAsia="zh-CN"/>
          <w:highlight w:val="auto"/>
        </w:rPr>
        <w:t>0</w:t>
      </w:r>
      <w:r>
        <w:rPr>
          <w:rFonts w:ascii="Times New Roman" w:eastAsia="仿宋_GB2312" w:cs="Times New Roman" w:hAnsi="Times New Roman"/>
          <w:sz w:val="32"/>
          <w:szCs w:val="32"/>
          <w:highlight w:val="auto"/>
        </w:rPr>
        <w:t>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Chars="200" w:firstLine="640"/>
        <w:textAlignment w:val="auto"/>
        <w:rPr>
          <w:rFonts w:ascii="Times New Roman" w:eastAsia="仿宋_GB2312" w:cs="Times New Roman" w:hAnsi="Times New Roman"/>
          <w:color w:val="333333"/>
          <w:kern w:val="0"/>
          <w:sz w:val="32"/>
          <w:szCs w:val="32"/>
          <w:highlight w:val="auto"/>
        </w:rPr>
      </w:pPr>
      <w:r>
        <w:rPr>
          <w:rFonts w:ascii="Times New Roman" w:eastAsia="仿宋_GB2312" w:cs="Times New Roman" w:hAnsi="Times New Roman"/>
          <w:color w:val="333333"/>
          <w:kern w:val="0"/>
          <w:sz w:val="32"/>
          <w:szCs w:val="32"/>
          <w:highlight w:val="auto"/>
        </w:rPr>
        <w:t>（二）依申请公开工作情况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Chars="200" w:firstLine="640"/>
        <w:textAlignment w:val="auto"/>
        <w:rPr>
          <w:rFonts w:ascii="Times New Roman" w:eastAsia="仿宋_GB2312" w:cs="Times New Roman" w:hAnsi="Times New Roman"/>
          <w:color w:val="333333"/>
          <w:kern w:val="0"/>
          <w:sz w:val="32"/>
          <w:szCs w:val="32"/>
          <w:highlight w:val="auto"/>
        </w:rPr>
      </w:pPr>
      <w:r>
        <w:rPr>
          <w:rFonts w:ascii="Times New Roman" w:eastAsia="仿宋_GB2312" w:cs="Times New Roman" w:hAnsi="Times New Roman"/>
          <w:color w:val="333333"/>
          <w:kern w:val="0"/>
          <w:sz w:val="32"/>
          <w:szCs w:val="32"/>
          <w:highlight w:val="auto"/>
        </w:rPr>
        <w:t>202</w:t>
      </w:r>
      <w:r>
        <w:rPr>
          <w:rFonts w:ascii="Times New Roman" w:eastAsia="仿宋_GB2312" w:cs="Times New Roman" w:hAnsi="Times New Roman"/>
          <w:color w:val="333333"/>
          <w:kern w:val="0"/>
          <w:sz w:val="32"/>
          <w:szCs w:val="32"/>
          <w:highlight w:val="auto"/>
        </w:rPr>
        <w:t>2</w:t>
      </w:r>
      <w:r>
        <w:rPr>
          <w:rFonts w:ascii="Times New Roman" w:eastAsia="仿宋_GB2312" w:cs="Times New Roman" w:hAnsi="Times New Roman"/>
          <w:color w:val="333333"/>
          <w:kern w:val="0"/>
          <w:sz w:val="32"/>
          <w:szCs w:val="32"/>
          <w:highlight w:val="auto"/>
        </w:rPr>
        <w:t>年度未收到政府信息公开申请。</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Chars="200" w:firstLine="640"/>
        <w:textAlignment w:val="auto"/>
        <w:rPr>
          <w:rFonts w:ascii="Times New Roman" w:eastAsia="仿宋_GB2312" w:cs="Times New Roman" w:hAnsi="Times New Roman"/>
          <w:color w:val="333333"/>
          <w:kern w:val="0"/>
          <w:sz w:val="32"/>
          <w:szCs w:val="32"/>
          <w:highlight w:val="auto"/>
        </w:rPr>
      </w:pPr>
      <w:r>
        <w:rPr>
          <w:rFonts w:ascii="Times New Roman" w:eastAsia="仿宋_GB2312" w:cs="Times New Roman" w:hAnsi="Times New Roman"/>
          <w:color w:val="333333"/>
          <w:kern w:val="0"/>
          <w:sz w:val="32"/>
          <w:szCs w:val="32"/>
          <w:highlight w:val="auto"/>
        </w:rPr>
        <w:t>（三）政府信息管理工作情况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Chars="200" w:firstLine="640"/>
        <w:textAlignment w:val="auto"/>
        <w:rPr>
          <w:rFonts w:ascii="Times New Roman" w:eastAsia="仿宋_GB2312" w:cs="Times New Roman" w:hAnsi="Times New Roman"/>
          <w:color w:val="333333"/>
          <w:kern w:val="0"/>
          <w:sz w:val="32"/>
          <w:szCs w:val="32"/>
          <w:highlight w:val="auto"/>
        </w:rPr>
      </w:pPr>
      <w:r>
        <w:rPr>
          <w:rFonts w:ascii="Times New Roman" w:eastAsia="仿宋_GB2312" w:cs="Times New Roman" w:hAnsi="Times New Roman"/>
          <w:color w:val="333333"/>
          <w:kern w:val="0"/>
          <w:sz w:val="32"/>
          <w:szCs w:val="32"/>
          <w:highlight w:val="auto"/>
        </w:rPr>
        <w:t>202</w:t>
      </w:r>
      <w:r>
        <w:rPr>
          <w:rFonts w:ascii="Times New Roman" w:eastAsia="仿宋_GB2312" w:cs="Times New Roman" w:hAnsi="Times New Roman"/>
          <w:color w:val="333333"/>
          <w:kern w:val="0"/>
          <w:sz w:val="32"/>
          <w:szCs w:val="32"/>
          <w:highlight w:val="auto"/>
        </w:rPr>
        <w:t>2</w:t>
      </w:r>
      <w:r>
        <w:rPr>
          <w:rFonts w:ascii="Times New Roman" w:eastAsia="仿宋_GB2312" w:cs="Times New Roman" w:hAnsi="Times New Roman"/>
          <w:color w:val="333333"/>
          <w:kern w:val="0"/>
          <w:sz w:val="32"/>
          <w:szCs w:val="32"/>
          <w:highlight w:val="auto"/>
        </w:rPr>
        <w:t>年全年，</w:t>
      </w:r>
      <w:r>
        <w:rPr>
          <w:rFonts w:cs="Times New Roman" w:hint="eastAsia"/>
          <w:color w:val="333333"/>
          <w:kern w:val="0"/>
          <w:sz w:val="32"/>
          <w:szCs w:val="32"/>
          <w:lang w:eastAsia="zh-CN"/>
          <w:highlight w:val="auto"/>
        </w:rPr>
        <w:t>乐清市金融工作服务中心</w:t>
      </w:r>
      <w:r>
        <w:rPr>
          <w:rFonts w:ascii="Times New Roman" w:eastAsia="仿宋_GB2312" w:cs="Times New Roman" w:hAnsi="Times New Roman"/>
          <w:color w:val="333333"/>
          <w:kern w:val="0"/>
          <w:sz w:val="32"/>
          <w:szCs w:val="32"/>
          <w:highlight w:val="auto"/>
        </w:rPr>
        <w:t>严格按照上级要求，贯彻落实《条例》相关规定</w:t>
      </w:r>
      <w:r>
        <w:rPr>
          <w:rFonts w:cs="Times New Roman" w:hint="eastAsia"/>
          <w:color w:val="333333"/>
          <w:kern w:val="0"/>
          <w:sz w:val="32"/>
          <w:szCs w:val="32"/>
          <w:lang w:eastAsia="zh-CN"/>
          <w:highlight w:val="auto"/>
        </w:rPr>
        <w:t>，</w:t>
      </w:r>
      <w:r>
        <w:rPr>
          <w:rFonts w:ascii="Times New Roman" w:eastAsia="仿宋_GB2312" w:cs="Times New Roman" w:hAnsi="Times New Roman"/>
          <w:color w:val="333333"/>
          <w:kern w:val="0"/>
          <w:sz w:val="32"/>
          <w:szCs w:val="32"/>
          <w:highlight w:val="auto"/>
        </w:rPr>
        <w:t>高度重视政府信息公开工作，加强领导</w:t>
      </w:r>
      <w:r>
        <w:rPr>
          <w:rFonts w:cs="Times New Roman" w:hint="eastAsia"/>
          <w:color w:val="333333"/>
          <w:kern w:val="0"/>
          <w:sz w:val="32"/>
          <w:szCs w:val="32"/>
          <w:lang w:eastAsia="zh-CN"/>
          <w:highlight w:val="auto"/>
        </w:rPr>
        <w:t>、</w:t>
      </w:r>
      <w:r>
        <w:rPr>
          <w:rFonts w:ascii="Times New Roman" w:eastAsia="仿宋_GB2312" w:cs="Times New Roman" w:hAnsi="Times New Roman"/>
          <w:color w:val="333333"/>
          <w:kern w:val="0"/>
          <w:sz w:val="32"/>
          <w:szCs w:val="32"/>
          <w:highlight w:val="auto"/>
        </w:rPr>
        <w:t>扎实推进，及时公开本年度的政府信息，最大限度地保障公众的知情权和监督权。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Chars="200" w:firstLine="640"/>
        <w:textAlignment w:val="auto"/>
        <w:rPr>
          <w:rFonts w:ascii="Times New Roman" w:eastAsia="仿宋_GB2312" w:cs="Times New Roman" w:hAnsi="Times New Roman"/>
          <w:color w:val="333333"/>
          <w:kern w:val="0"/>
          <w:sz w:val="32"/>
          <w:szCs w:val="32"/>
          <w:highlight w:val="auto"/>
        </w:rPr>
      </w:pPr>
      <w:r>
        <w:rPr>
          <w:rFonts w:ascii="Times New Roman" w:eastAsia="仿宋_GB2312" w:cs="Times New Roman" w:hAnsi="Times New Roman"/>
          <w:color w:val="333333"/>
          <w:kern w:val="0"/>
          <w:sz w:val="32"/>
          <w:szCs w:val="32"/>
          <w:highlight w:val="auto"/>
        </w:rPr>
        <w:t>（四）政务平台建设情况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Chars="200" w:firstLine="640"/>
        <w:textAlignment w:val="auto"/>
        <w:rPr>
          <w:rFonts w:ascii="Times New Roman" w:eastAsia="仿宋_GB2312" w:cs="Times New Roman" w:hAnsi="Times New Roman"/>
          <w:color w:val="333333"/>
          <w:kern w:val="0"/>
          <w:sz w:val="32"/>
          <w:szCs w:val="32"/>
          <w:highlight w:val="auto"/>
        </w:rPr>
      </w:pPr>
      <w:r>
        <w:rPr>
          <w:rFonts w:ascii="Times New Roman" w:eastAsia="仿宋_GB2312" w:cs="Times New Roman" w:hAnsi="Times New Roman"/>
          <w:color w:val="333333"/>
          <w:kern w:val="0"/>
          <w:sz w:val="32"/>
          <w:szCs w:val="32"/>
          <w:highlight w:val="auto"/>
        </w:rPr>
        <w:t>202</w:t>
      </w:r>
      <w:r>
        <w:rPr>
          <w:rFonts w:ascii="Times New Roman" w:eastAsia="仿宋_GB2312" w:cs="Times New Roman" w:hAnsi="Times New Roman"/>
          <w:color w:val="333333"/>
          <w:kern w:val="0"/>
          <w:sz w:val="32"/>
          <w:szCs w:val="32"/>
          <w:highlight w:val="auto"/>
        </w:rPr>
        <w:t>2</w:t>
      </w:r>
      <w:r>
        <w:rPr>
          <w:rFonts w:ascii="Times New Roman" w:eastAsia="仿宋_GB2312" w:cs="Times New Roman" w:hAnsi="Times New Roman"/>
          <w:color w:val="333333"/>
          <w:kern w:val="0"/>
          <w:sz w:val="32"/>
          <w:szCs w:val="32"/>
          <w:highlight w:val="auto"/>
        </w:rPr>
        <w:t>年，我</w:t>
      </w:r>
      <w:r>
        <w:rPr>
          <w:rFonts w:cs="Times New Roman" w:hint="eastAsia"/>
          <w:color w:val="333333"/>
          <w:kern w:val="0"/>
          <w:sz w:val="32"/>
          <w:szCs w:val="32"/>
          <w:lang w:eastAsia="zh-CN"/>
          <w:highlight w:val="auto"/>
        </w:rPr>
        <w:t>中心</w:t>
      </w:r>
      <w:r>
        <w:rPr>
          <w:rFonts w:ascii="Times New Roman" w:eastAsia="仿宋_GB2312" w:cs="Times New Roman" w:hAnsi="Times New Roman"/>
          <w:color w:val="333333"/>
          <w:kern w:val="0"/>
          <w:sz w:val="32"/>
          <w:szCs w:val="32"/>
          <w:highlight w:val="auto"/>
        </w:rPr>
        <w:t>严格按照上级要求，依托中国</w:t>
      </w:r>
      <w:r>
        <w:rPr>
          <w:rFonts w:cs="Times New Roman" w:hint="eastAsia"/>
          <w:color w:val="333333"/>
          <w:kern w:val="0"/>
          <w:sz w:val="32"/>
          <w:szCs w:val="32"/>
          <w:lang w:eastAsia="zh-CN"/>
          <w:highlight w:val="auto"/>
        </w:rPr>
        <w:t>乐清</w:t>
      </w:r>
      <w:r>
        <w:rPr>
          <w:rFonts w:ascii="Times New Roman" w:eastAsia="仿宋_GB2312" w:cs="Times New Roman" w:hAnsi="Times New Roman"/>
          <w:color w:val="333333"/>
          <w:kern w:val="0"/>
          <w:sz w:val="32"/>
          <w:szCs w:val="32"/>
          <w:highlight w:val="auto"/>
        </w:rPr>
        <w:t>政务网的信息公开专栏进行全文电子化公开，及时做好政府信息公开目录更新、依申请公开及电话咨询等工作，方便人民群众进行咨询及问题投诉。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Chars="200" w:firstLine="640"/>
        <w:textAlignment w:val="auto"/>
        <w:rPr>
          <w:rFonts w:ascii="Times New Roman" w:eastAsia="仿宋_GB2312" w:cs="Times New Roman" w:hAnsi="Times New Roman"/>
          <w:color w:val="333333"/>
          <w:kern w:val="0"/>
          <w:sz w:val="32"/>
          <w:szCs w:val="32"/>
          <w:highlight w:val="auto"/>
        </w:rPr>
      </w:pPr>
      <w:r>
        <w:rPr>
          <w:rFonts w:ascii="Times New Roman" w:eastAsia="仿宋_GB2312" w:cs="Times New Roman" w:hAnsi="Times New Roman"/>
          <w:color w:val="333333"/>
          <w:kern w:val="0"/>
          <w:sz w:val="32"/>
          <w:szCs w:val="32"/>
          <w:highlight w:val="auto"/>
        </w:rPr>
        <w:t>（五）监督保障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Chars="200" w:firstLine="640"/>
        <w:textAlignment w:val="auto"/>
        <w:rPr>
          <w:rFonts w:ascii="Times New Roman" w:eastAsia="仿宋_GB2312" w:cs="Times New Roman" w:hAnsi="Times New Roman"/>
          <w:color w:val="333333"/>
          <w:kern w:val="0"/>
          <w:sz w:val="32"/>
          <w:szCs w:val="32"/>
          <w:highlight w:val="auto"/>
        </w:rPr>
      </w:pPr>
      <w:r>
        <w:rPr>
          <w:rFonts w:ascii="Times New Roman" w:eastAsia="仿宋_GB2312" w:cs="Times New Roman" w:hAnsi="Times New Roman"/>
          <w:color w:val="333333"/>
          <w:kern w:val="0"/>
          <w:sz w:val="32"/>
          <w:szCs w:val="32"/>
          <w:highlight w:val="auto"/>
        </w:rPr>
        <w:t>在上级信息公开工作管理部门的指导下，进一步健全完善</w:t>
      </w:r>
      <w:r>
        <w:rPr>
          <w:rFonts w:cs="Times New Roman" w:hint="eastAsia"/>
          <w:color w:val="333333"/>
          <w:kern w:val="0"/>
          <w:sz w:val="32"/>
          <w:szCs w:val="32"/>
          <w:lang w:eastAsia="zh-CN"/>
          <w:highlight w:val="auto"/>
        </w:rPr>
        <w:t>乐清市金融工作服务中心</w:t>
      </w:r>
      <w:r>
        <w:rPr>
          <w:rFonts w:ascii="Times New Roman" w:eastAsia="仿宋_GB2312" w:cs="Times New Roman" w:hAnsi="Times New Roman"/>
          <w:color w:val="333333"/>
          <w:kern w:val="0"/>
          <w:sz w:val="32"/>
          <w:szCs w:val="32"/>
          <w:highlight w:val="auto"/>
        </w:rPr>
        <w:t>信息公开工作机制。切实加强公开前的审核把关，确保各项准备工作和措施落实到位。加强对信息公开工作的督查指导，研究解决工作中出现的新情况和新问题，促进信息公开工作有序、有效开展。</w:t>
      </w:r>
    </w:p>
    <w:p>
      <w:pPr>
        <w:keepNext w:val="0"/>
        <w:keepLines w:val="0"/>
        <w:pageBreakBefore w:val="0"/>
        <w:widowControl w:val="0"/>
        <w:shd w:val="clear" w:color="auto" w:fill="FFFFFF"/>
        <w:kinsoku/>
        <w:wordWrap/>
        <w:overflowPunct/>
        <w:topLinePunct w:val="0"/>
        <w:autoSpaceDE/>
        <w:autoSpaceDN/>
        <w:bidi w:val="0"/>
        <w:adjustRightInd/>
        <w:snapToGrid/>
        <w:spacing w:afterLines="100" w:after="312" w:line="500" w:lineRule="exact"/>
        <w:ind w:firstLineChars="200" w:firstLine="640"/>
        <w:textAlignment w:val="auto"/>
        <w:rPr>
          <w:rFonts w:ascii="Times New Roman" w:eastAsia="黑体" w:cs="Times New Roman" w:hAnsi="Times New Roman"/>
          <w:bCs/>
          <w:color w:val="333333"/>
          <w:kern w:val="0"/>
          <w:sz w:val="32"/>
          <w:szCs w:val="32"/>
        </w:rPr>
      </w:pPr>
      <w:r>
        <w:rPr>
          <w:rFonts w:ascii="Times New Roman" w:eastAsia="黑体" w:cs="Times New Roman" w:hAnsi="Times New Roman"/>
          <w:bCs/>
          <w:color w:val="333333"/>
          <w:kern w:val="0"/>
          <w:sz w:val="32"/>
          <w:szCs w:val="32"/>
        </w:rPr>
        <w:t>二、主动公开政府信息情况</w:t>
      </w:r>
    </w:p>
    <w:tbl>
      <w:tblPr>
        <w:jc w:val="center"/>
        <w:tblW w:w="8625"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2641"/>
        <w:gridCol w:w="2347"/>
        <w:gridCol w:w="1658"/>
        <w:gridCol w:w="1979"/>
      </w:tblGrid>
      <w:tr>
        <w:trPr>
          <w:trHeight w:hRule="exact" w:val="454"/>
        </w:trPr>
        <w:tc>
          <w:tcPr>
            <w:tcW w:w="8625" w:type="dxa"/>
            <w:gridSpan w:val="4"/>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color w:val="000000"/>
                <w:kern w:val="0"/>
                <w:sz w:val="24"/>
                <w:szCs w:val="24"/>
              </w:rPr>
              <w:t>第二十条第（一）项</w:t>
            </w:r>
          </w:p>
        </w:tc>
      </w:tr>
      <w:tr>
        <w:trPr>
          <w:trHeight w:hRule="exact" w:val="454"/>
        </w:trPr>
        <w:tc>
          <w:tcPr>
            <w:tcW w:w="2641"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color w:val="000000"/>
                <w:kern w:val="0"/>
                <w:sz w:val="24"/>
                <w:szCs w:val="24"/>
              </w:rPr>
              <w:t>信息内容</w:t>
            </w:r>
          </w:p>
        </w:tc>
        <w:tc>
          <w:tcPr>
            <w:tcW w:w="234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eastAsia="zh-CN"/>
              </w:rPr>
            </w:pPr>
            <w:r>
              <w:rPr>
                <w:rFonts w:ascii="Times New Roman" w:cs="Times New Roman" w:hAnsi="Times New Roman"/>
                <w:color w:val="000000"/>
                <w:kern w:val="0"/>
                <w:sz w:val="24"/>
                <w:szCs w:val="24"/>
              </w:rPr>
              <w:t>本年</w:t>
            </w:r>
            <w:r>
              <w:rPr>
                <w:rFonts w:ascii="Times New Roman" w:cs="Times New Roman" w:hAnsi="Times New Roman"/>
                <w:color w:val="000000"/>
                <w:kern w:val="0"/>
                <w:sz w:val="24"/>
                <w:szCs w:val="24"/>
                <w:lang w:eastAsia="zh-CN"/>
              </w:rPr>
              <w:t>制发件数</w:t>
            </w:r>
          </w:p>
        </w:tc>
        <w:tc>
          <w:tcPr>
            <w:tcW w:w="1658"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eastAsia="zh-CN"/>
              </w:rPr>
            </w:pPr>
            <w:r>
              <w:rPr>
                <w:rFonts w:ascii="Times New Roman" w:cs="Times New Roman" w:hAnsi="Times New Roman"/>
                <w:color w:val="000000"/>
                <w:kern w:val="0"/>
                <w:sz w:val="24"/>
                <w:szCs w:val="24"/>
              </w:rPr>
              <w:t>本年</w:t>
            </w:r>
            <w:r>
              <w:rPr>
                <w:rFonts w:ascii="Times New Roman" w:cs="Times New Roman" w:hAnsi="Times New Roman"/>
                <w:color w:val="000000"/>
                <w:kern w:val="0"/>
                <w:sz w:val="24"/>
                <w:szCs w:val="24"/>
                <w:lang w:eastAsia="zh-CN"/>
              </w:rPr>
              <w:t>废止件数</w:t>
            </w:r>
          </w:p>
        </w:tc>
        <w:tc>
          <w:tcPr>
            <w:tcW w:w="1979"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eastAsia="zh-CN"/>
              </w:rPr>
            </w:pPr>
            <w:r>
              <w:rPr>
                <w:rFonts w:ascii="Times New Roman" w:cs="Times New Roman" w:hAnsi="Times New Roman"/>
                <w:color w:val="000000"/>
                <w:kern w:val="0"/>
                <w:sz w:val="24"/>
                <w:szCs w:val="24"/>
                <w:lang w:eastAsia="zh-CN"/>
              </w:rPr>
              <w:t>现行有效件数</w:t>
            </w:r>
          </w:p>
        </w:tc>
      </w:tr>
      <w:tr>
        <w:trPr>
          <w:trHeight w:hRule="exact" w:val="454"/>
        </w:trPr>
        <w:tc>
          <w:tcPr>
            <w:tcW w:w="2641"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cs="Times New Roman" w:hAnsi="Times New Roman"/>
                <w:kern w:val="0"/>
                <w:sz w:val="24"/>
                <w:szCs w:val="24"/>
              </w:rPr>
            </w:pPr>
            <w:r>
              <w:rPr>
                <w:rFonts w:ascii="Times New Roman" w:cs="Times New Roman" w:hAnsi="Times New Roman"/>
                <w:color w:val="000000"/>
                <w:kern w:val="0"/>
                <w:sz w:val="24"/>
                <w:szCs w:val="24"/>
              </w:rPr>
              <w:t>规章</w:t>
            </w:r>
          </w:p>
        </w:tc>
        <w:tc>
          <w:tcPr>
            <w:tcW w:w="234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color w:val="000000"/>
                <w:kern w:val="0"/>
                <w:sz w:val="24"/>
                <w:szCs w:val="24"/>
                <w:lang w:val="en-US" w:eastAsia="zh-CN"/>
              </w:rPr>
              <w:t>0</w:t>
            </w:r>
          </w:p>
        </w:tc>
        <w:tc>
          <w:tcPr>
            <w:tcW w:w="1658"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color w:val="000000"/>
                <w:kern w:val="0"/>
                <w:sz w:val="24"/>
                <w:szCs w:val="24"/>
                <w:lang w:val="en-US" w:eastAsia="zh-CN"/>
              </w:rPr>
              <w:t>0</w:t>
            </w:r>
          </w:p>
        </w:tc>
        <w:tc>
          <w:tcPr>
            <w:tcW w:w="1979"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color w:val="000000"/>
                <w:kern w:val="0"/>
                <w:sz w:val="24"/>
                <w:szCs w:val="24"/>
                <w:lang w:val="en-US" w:eastAsia="zh-CN"/>
              </w:rPr>
              <w:t>0</w:t>
            </w:r>
          </w:p>
        </w:tc>
      </w:tr>
      <w:tr>
        <w:trPr>
          <w:trHeight w:hRule="exact" w:val="454"/>
        </w:trPr>
        <w:tc>
          <w:tcPr>
            <w:tcW w:w="2641"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cs="Times New Roman" w:hAnsi="Times New Roman"/>
                <w:kern w:val="0"/>
                <w:sz w:val="24"/>
                <w:szCs w:val="24"/>
              </w:rPr>
            </w:pPr>
            <w:r>
              <w:rPr>
                <w:rFonts w:ascii="Times New Roman" w:cs="Times New Roman" w:hAnsi="Times New Roman"/>
                <w:color w:val="000000"/>
                <w:kern w:val="0"/>
                <w:sz w:val="24"/>
                <w:szCs w:val="24"/>
                <w:lang w:eastAsia="zh-CN"/>
              </w:rPr>
              <w:t>行政</w:t>
            </w:r>
            <w:r>
              <w:rPr>
                <w:rFonts w:ascii="Times New Roman" w:cs="Times New Roman" w:hAnsi="Times New Roman"/>
                <w:color w:val="000000"/>
                <w:kern w:val="0"/>
                <w:sz w:val="24"/>
                <w:szCs w:val="24"/>
              </w:rPr>
              <w:t>规范性文件</w:t>
            </w:r>
          </w:p>
        </w:tc>
        <w:tc>
          <w:tcPr>
            <w:tcW w:w="234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color w:val="000000"/>
                <w:kern w:val="0"/>
                <w:sz w:val="24"/>
                <w:szCs w:val="24"/>
                <w:lang w:val="en-US" w:eastAsia="zh-CN"/>
              </w:rPr>
              <w:t>1</w:t>
            </w:r>
          </w:p>
        </w:tc>
        <w:tc>
          <w:tcPr>
            <w:tcW w:w="1658"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color w:val="000000"/>
                <w:kern w:val="0"/>
                <w:sz w:val="24"/>
                <w:szCs w:val="24"/>
                <w:lang w:val="en-US" w:eastAsia="zh-CN"/>
              </w:rPr>
              <w:t>0</w:t>
            </w:r>
          </w:p>
        </w:tc>
        <w:tc>
          <w:tcPr>
            <w:tcW w:w="1979"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color w:val="000000"/>
                <w:kern w:val="0"/>
                <w:sz w:val="24"/>
                <w:szCs w:val="24"/>
                <w:lang w:val="en-US" w:eastAsia="zh-CN"/>
              </w:rPr>
              <w:t>1</w:t>
            </w:r>
          </w:p>
        </w:tc>
      </w:tr>
      <w:tr>
        <w:trPr>
          <w:trHeight w:hRule="exact" w:val="454"/>
        </w:trPr>
        <w:tc>
          <w:tcPr>
            <w:tcW w:w="8625" w:type="dxa"/>
            <w:gridSpan w:val="4"/>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color w:val="000000"/>
                <w:kern w:val="0"/>
                <w:sz w:val="24"/>
                <w:szCs w:val="24"/>
              </w:rPr>
              <w:t>第二十条第（五）项</w:t>
            </w:r>
          </w:p>
        </w:tc>
      </w:tr>
      <w:tr>
        <w:trPr>
          <w:trHeight w:hRule="exact" w:val="454"/>
        </w:trPr>
        <w:tc>
          <w:tcPr>
            <w:tcW w:w="2641"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color w:val="000000"/>
                <w:kern w:val="0"/>
                <w:sz w:val="24"/>
                <w:szCs w:val="24"/>
              </w:rPr>
              <w:t>信息内容</w:t>
            </w:r>
          </w:p>
        </w:tc>
        <w:tc>
          <w:tcPr>
            <w:tcW w:w="5984" w:type="dxa"/>
            <w:gridSpan w:val="3"/>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eastAsia="zh-CN"/>
              </w:rPr>
            </w:pPr>
            <w:r>
              <w:rPr>
                <w:rFonts w:ascii="Times New Roman" w:cs="Times New Roman" w:hAnsi="Times New Roman"/>
                <w:kern w:val="0"/>
                <w:sz w:val="24"/>
                <w:szCs w:val="24"/>
                <w:lang w:eastAsia="zh-CN"/>
              </w:rPr>
              <w:t>本年处理决定数量</w:t>
            </w:r>
          </w:p>
        </w:tc>
      </w:tr>
      <w:tr>
        <w:trPr>
          <w:trHeight w:hRule="exact" w:val="454"/>
        </w:trPr>
        <w:tc>
          <w:tcPr>
            <w:tcW w:w="2641"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cs="Times New Roman" w:hAnsi="Times New Roman"/>
                <w:color w:val="000000"/>
                <w:kern w:val="0"/>
                <w:sz w:val="24"/>
                <w:szCs w:val="24"/>
              </w:rPr>
            </w:pPr>
            <w:r>
              <w:rPr>
                <w:rFonts w:ascii="Times New Roman" w:cs="Times New Roman" w:hAnsi="Times New Roman"/>
                <w:color w:val="000000"/>
                <w:kern w:val="0"/>
                <w:sz w:val="24"/>
                <w:szCs w:val="24"/>
              </w:rPr>
              <w:t>行政许可</w:t>
            </w:r>
          </w:p>
        </w:tc>
        <w:tc>
          <w:tcPr>
            <w:tcW w:w="5984" w:type="dxa"/>
            <w:gridSpan w:val="3"/>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color w:val="000000"/>
                <w:kern w:val="0"/>
                <w:sz w:val="24"/>
                <w:szCs w:val="24"/>
                <w:lang w:val="en-US" w:eastAsia="zh-CN"/>
              </w:rPr>
              <w:t>0</w:t>
            </w:r>
          </w:p>
        </w:tc>
      </w:tr>
      <w:tr>
        <w:trPr>
          <w:trHeight w:hRule="exact" w:val="454"/>
        </w:trPr>
        <w:tc>
          <w:tcPr>
            <w:tcW w:w="8625" w:type="dxa"/>
            <w:gridSpan w:val="4"/>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color w:val="000000"/>
                <w:kern w:val="0"/>
                <w:sz w:val="24"/>
                <w:szCs w:val="24"/>
              </w:rPr>
              <w:t>第二十条第（六）项</w:t>
            </w:r>
          </w:p>
        </w:tc>
      </w:tr>
      <w:tr>
        <w:trPr>
          <w:trHeight w:hRule="exact" w:val="454"/>
        </w:trPr>
        <w:tc>
          <w:tcPr>
            <w:tcW w:w="2641"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color w:val="000000"/>
                <w:kern w:val="0"/>
                <w:sz w:val="24"/>
                <w:szCs w:val="24"/>
              </w:rPr>
              <w:t>信息内容</w:t>
            </w:r>
          </w:p>
        </w:tc>
        <w:tc>
          <w:tcPr>
            <w:tcW w:w="5984" w:type="dxa"/>
            <w:gridSpan w:val="3"/>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Chars="800" w:firstLine="1920"/>
              <w:jc w:val="both"/>
              <w:textAlignment w:val="auto"/>
              <w:rPr>
                <w:rFonts w:ascii="Times New Roman" w:cs="Times New Roman" w:hAnsi="Times New Roman"/>
                <w:kern w:val="0"/>
                <w:sz w:val="24"/>
                <w:szCs w:val="24"/>
              </w:rPr>
            </w:pPr>
            <w:r>
              <w:rPr>
                <w:rFonts w:ascii="Times New Roman" w:cs="Times New Roman" w:hAnsi="Times New Roman"/>
                <w:color w:val="000000"/>
                <w:kern w:val="0"/>
                <w:sz w:val="24"/>
                <w:szCs w:val="24"/>
                <w:lang w:eastAsia="zh-CN"/>
              </w:rPr>
              <w:t>本年</w:t>
            </w:r>
            <w:r>
              <w:rPr>
                <w:rFonts w:ascii="Times New Roman" w:cs="Times New Roman" w:hAnsi="Times New Roman"/>
                <w:color w:val="000000"/>
                <w:kern w:val="0"/>
                <w:sz w:val="24"/>
                <w:szCs w:val="24"/>
              </w:rPr>
              <w:t>处理决定数量</w:t>
            </w:r>
          </w:p>
        </w:tc>
      </w:tr>
      <w:tr>
        <w:trPr>
          <w:trHeight w:hRule="exact" w:val="454"/>
        </w:trPr>
        <w:tc>
          <w:tcPr>
            <w:tcW w:w="2641"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cs="Times New Roman" w:hAnsi="Times New Roman"/>
                <w:kern w:val="0"/>
                <w:sz w:val="24"/>
                <w:szCs w:val="24"/>
              </w:rPr>
            </w:pPr>
            <w:r>
              <w:rPr>
                <w:rFonts w:ascii="Times New Roman" w:cs="Times New Roman" w:hAnsi="Times New Roman"/>
                <w:color w:val="000000"/>
                <w:kern w:val="0"/>
                <w:sz w:val="24"/>
                <w:szCs w:val="24"/>
              </w:rPr>
              <w:t>行政处罚</w:t>
            </w:r>
          </w:p>
        </w:tc>
        <w:tc>
          <w:tcPr>
            <w:tcW w:w="5984" w:type="dxa"/>
            <w:gridSpan w:val="3"/>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color w:val="000000"/>
                <w:kern w:val="0"/>
                <w:sz w:val="24"/>
                <w:szCs w:val="24"/>
                <w:lang w:val="en-US" w:eastAsia="zh-CN"/>
              </w:rPr>
              <w:t>0</w:t>
            </w:r>
          </w:p>
        </w:tc>
      </w:tr>
      <w:tr>
        <w:trPr>
          <w:trHeight w:hRule="exact" w:val="454"/>
        </w:trPr>
        <w:tc>
          <w:tcPr>
            <w:tcW w:w="2641"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cs="Times New Roman" w:hAnsi="Times New Roman"/>
                <w:kern w:val="0"/>
                <w:sz w:val="24"/>
                <w:szCs w:val="24"/>
              </w:rPr>
            </w:pPr>
            <w:r>
              <w:rPr>
                <w:rFonts w:ascii="Times New Roman" w:cs="Times New Roman" w:hAnsi="Times New Roman"/>
                <w:color w:val="000000"/>
                <w:kern w:val="0"/>
                <w:sz w:val="24"/>
                <w:szCs w:val="24"/>
              </w:rPr>
              <w:t>行政强制</w:t>
            </w:r>
          </w:p>
        </w:tc>
        <w:tc>
          <w:tcPr>
            <w:tcW w:w="5984" w:type="dxa"/>
            <w:gridSpan w:val="3"/>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r>
      <w:tr>
        <w:trPr>
          <w:trHeight w:hRule="exact" w:val="454"/>
        </w:trPr>
        <w:tc>
          <w:tcPr>
            <w:tcW w:w="8625" w:type="dxa"/>
            <w:gridSpan w:val="4"/>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color w:val="000000"/>
                <w:kern w:val="0"/>
                <w:sz w:val="24"/>
                <w:szCs w:val="24"/>
              </w:rPr>
              <w:t>第二十条第（八）项</w:t>
            </w:r>
          </w:p>
        </w:tc>
      </w:tr>
      <w:tr>
        <w:trPr>
          <w:trHeight w:hRule="exact" w:val="454"/>
        </w:trPr>
        <w:tc>
          <w:tcPr>
            <w:tcW w:w="2641"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color w:val="000000"/>
                <w:kern w:val="0"/>
                <w:sz w:val="24"/>
                <w:szCs w:val="24"/>
              </w:rPr>
              <w:t>信息内容</w:t>
            </w:r>
          </w:p>
        </w:tc>
        <w:tc>
          <w:tcPr>
            <w:tcW w:w="5984" w:type="dxa"/>
            <w:gridSpan w:val="3"/>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eastAsia="zh-CN"/>
              </w:rPr>
            </w:pPr>
            <w:r>
              <w:rPr>
                <w:rFonts w:ascii="Times New Roman" w:cs="Times New Roman" w:hAnsi="Times New Roman"/>
                <w:color w:val="000000"/>
                <w:kern w:val="0"/>
                <w:sz w:val="24"/>
                <w:szCs w:val="24"/>
                <w:lang w:eastAsia="zh-CN"/>
              </w:rPr>
              <w:t>本年收费金额（单位：万元）</w:t>
            </w:r>
          </w:p>
        </w:tc>
      </w:tr>
      <w:tr>
        <w:trPr>
          <w:trHeight w:hRule="exact" w:val="454"/>
        </w:trPr>
        <w:tc>
          <w:tcPr>
            <w:tcW w:w="2641"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cs="Times New Roman" w:hAnsi="Times New Roman"/>
                <w:kern w:val="0"/>
                <w:sz w:val="24"/>
                <w:szCs w:val="24"/>
              </w:rPr>
            </w:pPr>
            <w:r>
              <w:rPr>
                <w:rFonts w:ascii="Times New Roman" w:cs="Times New Roman" w:hAnsi="Times New Roman"/>
                <w:color w:val="000000"/>
                <w:kern w:val="0"/>
                <w:sz w:val="24"/>
                <w:szCs w:val="24"/>
              </w:rPr>
              <w:t>行政事业性收费</w:t>
            </w:r>
          </w:p>
        </w:tc>
        <w:tc>
          <w:tcPr>
            <w:tcW w:w="5984" w:type="dxa"/>
            <w:gridSpan w:val="3"/>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color w:val="000000"/>
                <w:kern w:val="0"/>
                <w:sz w:val="24"/>
                <w:szCs w:val="24"/>
                <w:lang w:val="en-US" w:eastAsia="zh-CN"/>
              </w:rPr>
              <w:t>0</w:t>
            </w:r>
          </w:p>
        </w:tc>
      </w:tr>
    </w:tbl>
    <w:p>
      <w:pPr>
        <w:keepNext w:val="0"/>
        <w:keepLines w:val="0"/>
        <w:pageBreakBefore w:val="0"/>
        <w:widowControl w:val="0"/>
        <w:tabs>
          <w:tab w:val="left" w:pos="7644"/>
        </w:tabs>
        <w:kinsoku/>
        <w:wordWrap/>
        <w:overflowPunct/>
        <w:topLinePunct w:val="0"/>
        <w:autoSpaceDE/>
        <w:autoSpaceDN/>
        <w:bidi w:val="0"/>
        <w:adjustRightInd/>
        <w:snapToGrid/>
        <w:spacing w:line="560" w:lineRule="exact"/>
        <w:ind w:firstLineChars="200" w:firstLine="640"/>
        <w:textAlignment w:val="auto"/>
        <w:rPr>
          <w:rFonts w:ascii="Times New Roman" w:eastAsia="黑体" w:cs="Times New Roman" w:hAnsi="Times New Roman"/>
          <w:bCs/>
          <w:color w:val="333333"/>
          <w:kern w:val="0"/>
          <w:sz w:val="32"/>
          <w:szCs w:val="32"/>
        </w:rPr>
      </w:pPr>
      <w:r>
        <w:rPr>
          <w:rFonts w:ascii="Times New Roman" w:eastAsia="黑体" w:cs="Times New Roman" w:hAnsi="Times New Roman"/>
          <w:bCs/>
          <w:color w:val="333333"/>
          <w:kern w:val="0"/>
          <w:sz w:val="32"/>
          <w:szCs w:val="32"/>
        </w:rPr>
        <w:t>三、收到和处理政府信息公开申请情况</w:t>
      </w:r>
    </w:p>
    <w:tbl>
      <w:tblPr>
        <w:tblpPr w:leftFromText="180" w:rightFromText="180" w:vertAnchor="text" w:horzAnchor="page" w:tblpX="1685" w:tblpY="660"/>
        <w:tblOverlap w:val="never"/>
        <w:tblW w:w="8579"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659"/>
        <w:gridCol w:w="885"/>
        <w:gridCol w:w="2593"/>
        <w:gridCol w:w="457"/>
        <w:gridCol w:w="737"/>
        <w:gridCol w:w="693"/>
        <w:gridCol w:w="781"/>
        <w:gridCol w:w="810"/>
        <w:gridCol w:w="483"/>
        <w:gridCol w:w="481"/>
      </w:tblGrid>
      <w:tr>
        <w:trPr>
          <w:trHeight w:val="324"/>
        </w:trPr>
        <w:tc>
          <w:tcPr>
            <w:tcW w:w="4137" w:type="dxa"/>
            <w:gridSpan w:val="3"/>
            <w:vMerge w:val="restart"/>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（本列数据的勾稽关系为：第一项加第二项之和，等于第三项加第四项</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之和）</w:t>
            </w:r>
          </w:p>
        </w:tc>
        <w:tc>
          <w:tcPr>
            <w:tcW w:w="4442" w:type="dxa"/>
            <w:gridSpan w:val="7"/>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申请人情况</w:t>
            </w:r>
          </w:p>
        </w:tc>
      </w:tr>
      <w:tr>
        <w:trPr>
          <w:trHeight w:val="324"/>
        </w:trPr>
        <w:tc>
          <w:tcPr>
            <w:tcW w:w="4137" w:type="dxa"/>
            <w:gridSpan w:val="3"/>
            <w:vMerge/>
            <w:tcBorders>
              <w:top w:val="single" w:sz="8" w:space="0" w:color="auto"/>
              <w:left w:val="single" w:sz="8" w:space="0" w:color="auto"/>
              <w:bottom w:val="single" w:sz="8" w:space="0" w:color="auto"/>
              <w:right w:val="single" w:sz="8" w:space="0" w:color="auto"/>
            </w:tcBorders>
            <w:noWrap/>
            <w:vAlign w:val="center"/>
          </w:tcPr>
          <w:p/>
        </w:tc>
        <w:tc>
          <w:tcPr>
            <w:tcW w:w="457" w:type="dxa"/>
            <w:vMerge w:val="restart"/>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自然人</w:t>
            </w:r>
          </w:p>
        </w:tc>
        <w:tc>
          <w:tcPr>
            <w:tcW w:w="3504" w:type="dxa"/>
            <w:gridSpan w:val="5"/>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法人或其他组织</w:t>
            </w:r>
          </w:p>
        </w:tc>
        <w:tc>
          <w:tcPr>
            <w:tcW w:w="481" w:type="dxa"/>
            <w:vMerge w:val="restart"/>
            <w:tcBorders>
              <w:top w:val="single" w:sz="8" w:space="0" w:color="auto"/>
              <w:left w:val="nil"/>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总计</w:t>
            </w:r>
          </w:p>
        </w:tc>
      </w:tr>
      <w:tr>
        <w:trPr>
          <w:trHeight w:val="1177"/>
        </w:trPr>
        <w:tc>
          <w:tcPr>
            <w:tcW w:w="4137" w:type="dxa"/>
            <w:gridSpan w:val="3"/>
            <w:vMerge/>
            <w:tcBorders>
              <w:top w:val="single" w:sz="8" w:space="0" w:color="auto"/>
              <w:left w:val="single" w:sz="8" w:space="0" w:color="auto"/>
              <w:bottom w:val="single" w:sz="8" w:space="0" w:color="auto"/>
              <w:right w:val="single" w:sz="8" w:space="0" w:color="auto"/>
            </w:tcBorders>
            <w:noWrap/>
            <w:vAlign w:val="center"/>
          </w:tcPr>
          <w:p/>
        </w:tc>
        <w:tc>
          <w:tcPr>
            <w:tcW w:w="457" w:type="dxa"/>
            <w:vMerge/>
            <w:tcBorders>
              <w:top w:val="single" w:sz="8" w:space="0" w:color="auto"/>
              <w:left w:val="nil"/>
              <w:bottom w:val="single" w:sz="8" w:space="0" w:color="auto"/>
              <w:right w:val="single" w:sz="8" w:space="0" w:color="auto"/>
            </w:tcBorders>
            <w:noWrap/>
            <w:vAlign w:val="center"/>
          </w:tcPr>
          <w:p/>
        </w:tc>
        <w:tc>
          <w:tcPr>
            <w:tcW w:w="73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商业企业</w:t>
            </w:r>
          </w:p>
        </w:tc>
        <w:tc>
          <w:tcPr>
            <w:tcW w:w="6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科研机构</w:t>
            </w:r>
          </w:p>
        </w:tc>
        <w:tc>
          <w:tcPr>
            <w:tcW w:w="7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社会公益组织</w:t>
            </w:r>
          </w:p>
        </w:tc>
        <w:tc>
          <w:tcPr>
            <w:tcW w:w="810"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法律服务机构</w:t>
            </w:r>
          </w:p>
        </w:tc>
        <w:tc>
          <w:tcPr>
            <w:tcW w:w="48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其他</w:t>
            </w:r>
          </w:p>
        </w:tc>
        <w:tc>
          <w:tcPr>
            <w:tcW w:w="481" w:type="dxa"/>
            <w:vMerge/>
            <w:tcBorders>
              <w:left w:val="nil"/>
              <w:right w:val="single" w:sz="8" w:space="0" w:color="auto"/>
            </w:tcBorders>
            <w:noWrap/>
            <w:vAlign w:val="center"/>
          </w:tcPr>
          <w:p/>
        </w:tc>
      </w:tr>
      <w:tr>
        <w:trPr>
          <w:trHeight w:val="364"/>
        </w:trPr>
        <w:tc>
          <w:tcPr>
            <w:tcW w:w="4137" w:type="dxa"/>
            <w:gridSpan w:val="3"/>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cs="Times New Roman" w:hAnsi="Times New Roman"/>
                <w:kern w:val="0"/>
                <w:sz w:val="24"/>
                <w:szCs w:val="24"/>
              </w:rPr>
            </w:pPr>
            <w:r>
              <w:rPr>
                <w:rFonts w:ascii="Times New Roman" w:cs="Times New Roman" w:hAnsi="Times New Roman"/>
                <w:kern w:val="0"/>
                <w:sz w:val="24"/>
                <w:szCs w:val="24"/>
              </w:rPr>
              <w:t>一、本年新收政府信息公开申请数量</w:t>
            </w:r>
          </w:p>
        </w:tc>
        <w:tc>
          <w:tcPr>
            <w:tcW w:w="45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73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6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7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810"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48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4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r>
      <w:tr>
        <w:trPr>
          <w:trHeight w:val="364"/>
        </w:trPr>
        <w:tc>
          <w:tcPr>
            <w:tcW w:w="4137" w:type="dxa"/>
            <w:gridSpan w:val="3"/>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cs="Times New Roman" w:hAnsi="Times New Roman"/>
                <w:kern w:val="0"/>
                <w:sz w:val="24"/>
                <w:szCs w:val="24"/>
              </w:rPr>
            </w:pPr>
            <w:r>
              <w:rPr>
                <w:rFonts w:ascii="Times New Roman" w:cs="Times New Roman" w:hAnsi="Times New Roman"/>
                <w:kern w:val="0"/>
                <w:sz w:val="24"/>
                <w:szCs w:val="24"/>
              </w:rPr>
              <w:t>二、上年结转政府信息公开申请数量</w:t>
            </w:r>
          </w:p>
        </w:tc>
        <w:tc>
          <w:tcPr>
            <w:tcW w:w="45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73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6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7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810"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48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4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r>
      <w:tr>
        <w:trPr>
          <w:trHeight w:val="324"/>
        </w:trPr>
        <w:tc>
          <w:tcPr>
            <w:tcW w:w="659" w:type="dxa"/>
            <w:vMerge w:val="restart"/>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三、本年度办理结果</w:t>
            </w:r>
          </w:p>
        </w:tc>
        <w:tc>
          <w:tcPr>
            <w:tcW w:w="3478" w:type="dxa"/>
            <w:gridSpan w:val="2"/>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cs="Times New Roman" w:hAnsi="Times New Roman"/>
                <w:kern w:val="0"/>
                <w:sz w:val="24"/>
                <w:szCs w:val="24"/>
              </w:rPr>
            </w:pPr>
            <w:r>
              <w:rPr>
                <w:rFonts w:ascii="Times New Roman" w:cs="Times New Roman" w:hAnsi="Times New Roman"/>
                <w:kern w:val="0"/>
                <w:sz w:val="24"/>
                <w:szCs w:val="24"/>
              </w:rPr>
              <w:t>（一）予以公开</w:t>
            </w:r>
          </w:p>
        </w:tc>
        <w:tc>
          <w:tcPr>
            <w:tcW w:w="45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73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6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7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810"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48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4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r>
      <w:tr>
        <w:trPr>
          <w:trHeight w:val="715"/>
        </w:trPr>
        <w:tc>
          <w:tcPr>
            <w:tcW w:w="659" w:type="dxa"/>
            <w:vMerge/>
            <w:tcBorders>
              <w:top w:val="single" w:sz="8" w:space="0" w:color="auto"/>
              <w:left w:val="single" w:sz="8" w:space="0" w:color="auto"/>
              <w:bottom w:val="single" w:sz="8" w:space="0" w:color="auto"/>
              <w:right w:val="single" w:sz="8" w:space="0" w:color="auto"/>
            </w:tcBorders>
            <w:noWrap/>
            <w:vAlign w:val="center"/>
          </w:tcPr>
          <w:p/>
        </w:tc>
        <w:tc>
          <w:tcPr>
            <w:tcW w:w="3478" w:type="dxa"/>
            <w:gridSpan w:val="2"/>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cs="Times New Roman" w:hAnsi="Times New Roman"/>
                <w:kern w:val="0"/>
                <w:sz w:val="24"/>
                <w:szCs w:val="24"/>
              </w:rPr>
            </w:pPr>
            <w:r>
              <w:rPr>
                <w:rFonts w:ascii="Times New Roman" w:cs="Times New Roman" w:hAnsi="Times New Roman"/>
                <w:kern w:val="0"/>
                <w:sz w:val="24"/>
                <w:szCs w:val="24"/>
              </w:rPr>
              <w:t>（二）部分公开（区分处理的，只计这一情形，不计其他情形）</w:t>
            </w:r>
          </w:p>
        </w:tc>
        <w:tc>
          <w:tcPr>
            <w:tcW w:w="45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rPr>
              <w:t> </w:t>
            </w:r>
            <w:r>
              <w:rPr>
                <w:rFonts w:ascii="Times New Roman" w:cs="Times New Roman" w:hAnsi="Times New Roman"/>
                <w:kern w:val="0"/>
                <w:sz w:val="24"/>
                <w:szCs w:val="24"/>
                <w:lang w:val="en-US" w:eastAsia="zh-CN"/>
              </w:rPr>
              <w:t>0</w:t>
            </w:r>
          </w:p>
        </w:tc>
        <w:tc>
          <w:tcPr>
            <w:tcW w:w="73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rPr>
              <w:t> </w:t>
            </w:r>
            <w:r>
              <w:rPr>
                <w:rFonts w:ascii="Times New Roman" w:cs="Times New Roman" w:hAnsi="Times New Roman"/>
                <w:kern w:val="0"/>
                <w:sz w:val="24"/>
                <w:szCs w:val="24"/>
                <w:lang w:val="en-US" w:eastAsia="zh-CN"/>
              </w:rPr>
              <w:t>0</w:t>
            </w:r>
          </w:p>
        </w:tc>
        <w:tc>
          <w:tcPr>
            <w:tcW w:w="6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rPr>
              <w:t> </w:t>
            </w:r>
            <w:r>
              <w:rPr>
                <w:rFonts w:ascii="Times New Roman" w:cs="Times New Roman" w:hAnsi="Times New Roman"/>
                <w:kern w:val="0"/>
                <w:sz w:val="24"/>
                <w:szCs w:val="24"/>
                <w:lang w:val="en-US" w:eastAsia="zh-CN"/>
              </w:rPr>
              <w:t>0</w:t>
            </w:r>
          </w:p>
        </w:tc>
        <w:tc>
          <w:tcPr>
            <w:tcW w:w="7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r>
              <w:rPr>
                <w:rFonts w:ascii="Times New Roman" w:cs="Times New Roman" w:hAnsi="Times New Roman"/>
                <w:kern w:val="0"/>
                <w:sz w:val="24"/>
                <w:szCs w:val="24"/>
              </w:rPr>
              <w:t> </w:t>
            </w:r>
          </w:p>
        </w:tc>
        <w:tc>
          <w:tcPr>
            <w:tcW w:w="810"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rPr>
              <w:t> </w:t>
            </w:r>
            <w:r>
              <w:rPr>
                <w:rFonts w:ascii="Times New Roman" w:cs="Times New Roman" w:hAnsi="Times New Roman"/>
                <w:kern w:val="0"/>
                <w:sz w:val="24"/>
                <w:szCs w:val="24"/>
                <w:lang w:val="en-US" w:eastAsia="zh-CN"/>
              </w:rPr>
              <w:t>0</w:t>
            </w:r>
          </w:p>
        </w:tc>
        <w:tc>
          <w:tcPr>
            <w:tcW w:w="48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rPr>
              <w:t> </w:t>
            </w:r>
            <w:r>
              <w:rPr>
                <w:rFonts w:ascii="Times New Roman" w:cs="Times New Roman" w:hAnsi="Times New Roman"/>
                <w:kern w:val="0"/>
                <w:sz w:val="24"/>
                <w:szCs w:val="24"/>
                <w:lang w:val="en-US" w:eastAsia="zh-CN"/>
              </w:rPr>
              <w:t>0</w:t>
            </w:r>
          </w:p>
        </w:tc>
        <w:tc>
          <w:tcPr>
            <w:tcW w:w="4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rPr>
              <w:t> </w:t>
            </w:r>
            <w:r>
              <w:rPr>
                <w:rFonts w:ascii="Times New Roman" w:cs="Times New Roman" w:hAnsi="Times New Roman"/>
                <w:kern w:val="0"/>
                <w:sz w:val="24"/>
                <w:szCs w:val="24"/>
                <w:lang w:val="en-US" w:eastAsia="zh-CN"/>
              </w:rPr>
              <w:t>0</w:t>
            </w:r>
          </w:p>
        </w:tc>
      </w:tr>
      <w:tr>
        <w:trPr>
          <w:trHeight w:val="364"/>
        </w:trPr>
        <w:tc>
          <w:tcPr>
            <w:tcW w:w="659" w:type="dxa"/>
            <w:vMerge/>
            <w:tcBorders>
              <w:top w:val="single" w:sz="8" w:space="0" w:color="auto"/>
              <w:left w:val="single" w:sz="8" w:space="0" w:color="auto"/>
              <w:bottom w:val="single" w:sz="8" w:space="0" w:color="auto"/>
              <w:right w:val="single" w:sz="8" w:space="0" w:color="auto"/>
            </w:tcBorders>
            <w:noWrap/>
            <w:vAlign w:val="center"/>
          </w:tcPr>
          <w:p/>
        </w:tc>
        <w:tc>
          <w:tcPr>
            <w:tcW w:w="885" w:type="dxa"/>
            <w:vMerge w:val="restart"/>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（三）不予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公开</w:t>
            </w:r>
          </w:p>
        </w:tc>
        <w:tc>
          <w:tcPr>
            <w:tcW w:w="25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Times New Roman" w:cs="Times New Roman" w:hAnsi="Times New Roman"/>
                <w:kern w:val="0"/>
                <w:sz w:val="24"/>
                <w:szCs w:val="24"/>
              </w:rPr>
            </w:pPr>
            <w:r>
              <w:rPr>
                <w:rFonts w:ascii="Times New Roman" w:cs="Times New Roman" w:hAnsi="Times New Roman"/>
                <w:kern w:val="0"/>
                <w:sz w:val="24"/>
                <w:szCs w:val="24"/>
              </w:rPr>
              <w:t>1.属于国家秘密</w:t>
            </w:r>
          </w:p>
        </w:tc>
        <w:tc>
          <w:tcPr>
            <w:tcW w:w="45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73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6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7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810"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48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4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r>
      <w:tr>
        <w:trPr>
          <w:trHeight w:val="632"/>
        </w:trPr>
        <w:tc>
          <w:tcPr>
            <w:tcW w:w="659" w:type="dxa"/>
            <w:vMerge/>
            <w:tcBorders>
              <w:top w:val="single" w:sz="8" w:space="0" w:color="auto"/>
              <w:left w:val="single" w:sz="8" w:space="0" w:color="auto"/>
              <w:bottom w:val="single" w:sz="8" w:space="0" w:color="auto"/>
              <w:right w:val="single" w:sz="8" w:space="0" w:color="auto"/>
            </w:tcBorders>
            <w:noWrap/>
            <w:vAlign w:val="center"/>
          </w:tcPr>
          <w:p/>
        </w:tc>
        <w:tc>
          <w:tcPr>
            <w:tcW w:w="885" w:type="dxa"/>
            <w:vMerge/>
            <w:tcBorders>
              <w:top w:val="single" w:sz="8" w:space="0" w:color="auto"/>
              <w:left w:val="nil"/>
              <w:bottom w:val="single" w:sz="8" w:space="0" w:color="auto"/>
              <w:right w:val="single" w:sz="8" w:space="0" w:color="auto"/>
            </w:tcBorders>
            <w:noWrap/>
            <w:vAlign w:val="center"/>
          </w:tcPr>
          <w:p/>
        </w:tc>
        <w:tc>
          <w:tcPr>
            <w:tcW w:w="25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Times New Roman" w:cs="Times New Roman" w:hAnsi="Times New Roman"/>
                <w:kern w:val="0"/>
                <w:sz w:val="24"/>
                <w:szCs w:val="24"/>
              </w:rPr>
            </w:pPr>
            <w:r>
              <w:rPr>
                <w:rFonts w:ascii="Times New Roman" w:cs="Times New Roman" w:hAnsi="Times New Roman"/>
                <w:kern w:val="0"/>
                <w:sz w:val="24"/>
                <w:szCs w:val="24"/>
              </w:rPr>
              <w:t>2.其他法律行政法规禁止公开</w:t>
            </w:r>
          </w:p>
        </w:tc>
        <w:tc>
          <w:tcPr>
            <w:tcW w:w="45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73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6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7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810"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48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4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r>
      <w:tr>
        <w:trPr>
          <w:trHeight w:val="523"/>
        </w:trPr>
        <w:tc>
          <w:tcPr>
            <w:tcW w:w="659" w:type="dxa"/>
            <w:vMerge/>
            <w:tcBorders>
              <w:top w:val="single" w:sz="8" w:space="0" w:color="auto"/>
              <w:left w:val="single" w:sz="8" w:space="0" w:color="auto"/>
              <w:bottom w:val="single" w:sz="8" w:space="0" w:color="auto"/>
              <w:right w:val="single" w:sz="8" w:space="0" w:color="auto"/>
            </w:tcBorders>
            <w:noWrap/>
            <w:vAlign w:val="center"/>
          </w:tcPr>
          <w:p/>
        </w:tc>
        <w:tc>
          <w:tcPr>
            <w:tcW w:w="885" w:type="dxa"/>
            <w:vMerge/>
            <w:tcBorders>
              <w:top w:val="single" w:sz="8" w:space="0" w:color="auto"/>
              <w:left w:val="nil"/>
              <w:bottom w:val="single" w:sz="8" w:space="0" w:color="auto"/>
              <w:right w:val="single" w:sz="8" w:space="0" w:color="auto"/>
            </w:tcBorders>
            <w:noWrap/>
            <w:vAlign w:val="center"/>
          </w:tcPr>
          <w:p/>
        </w:tc>
        <w:tc>
          <w:tcPr>
            <w:tcW w:w="25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Times New Roman" w:cs="Times New Roman" w:hAnsi="Times New Roman"/>
                <w:spacing w:val="-4"/>
                <w:kern w:val="0"/>
                <w:sz w:val="24"/>
                <w:szCs w:val="24"/>
              </w:rPr>
            </w:pPr>
            <w:r>
              <w:rPr>
                <w:rFonts w:ascii="Times New Roman" w:cs="Times New Roman" w:hAnsi="Times New Roman"/>
                <w:spacing w:val="-4"/>
                <w:kern w:val="0"/>
                <w:sz w:val="24"/>
                <w:szCs w:val="24"/>
              </w:rPr>
              <w:t>3.危及“三安全一稳定”</w:t>
            </w:r>
          </w:p>
        </w:tc>
        <w:tc>
          <w:tcPr>
            <w:tcW w:w="45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73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6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7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810"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48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4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r>
      <w:tr>
        <w:trPr>
          <w:trHeight w:val="486"/>
        </w:trPr>
        <w:tc>
          <w:tcPr>
            <w:tcW w:w="659" w:type="dxa"/>
            <w:vMerge/>
            <w:tcBorders>
              <w:top w:val="single" w:sz="8" w:space="0" w:color="auto"/>
              <w:left w:val="single" w:sz="8" w:space="0" w:color="auto"/>
              <w:bottom w:val="single" w:sz="8" w:space="0" w:color="auto"/>
              <w:right w:val="single" w:sz="8" w:space="0" w:color="auto"/>
            </w:tcBorders>
            <w:noWrap/>
            <w:vAlign w:val="center"/>
          </w:tcPr>
          <w:p/>
        </w:tc>
        <w:tc>
          <w:tcPr>
            <w:tcW w:w="885" w:type="dxa"/>
            <w:vMerge/>
            <w:tcBorders>
              <w:top w:val="single" w:sz="8" w:space="0" w:color="auto"/>
              <w:left w:val="nil"/>
              <w:bottom w:val="single" w:sz="8" w:space="0" w:color="auto"/>
              <w:right w:val="single" w:sz="8" w:space="0" w:color="auto"/>
            </w:tcBorders>
            <w:noWrap/>
            <w:vAlign w:val="center"/>
          </w:tcPr>
          <w:p/>
        </w:tc>
        <w:tc>
          <w:tcPr>
            <w:tcW w:w="25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Times New Roman" w:cs="Times New Roman" w:hAnsi="Times New Roman"/>
                <w:kern w:val="0"/>
                <w:sz w:val="24"/>
                <w:szCs w:val="24"/>
              </w:rPr>
            </w:pPr>
            <w:r>
              <w:rPr>
                <w:rFonts w:ascii="Times New Roman" w:cs="Times New Roman" w:hAnsi="Times New Roman"/>
                <w:kern w:val="0"/>
                <w:sz w:val="24"/>
                <w:szCs w:val="24"/>
              </w:rPr>
              <w:t>4.保护第三方合法权益</w:t>
            </w:r>
          </w:p>
        </w:tc>
        <w:tc>
          <w:tcPr>
            <w:tcW w:w="45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73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6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7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810"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48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4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r>
      <w:tr>
        <w:trPr>
          <w:trHeight w:val="607"/>
        </w:trPr>
        <w:tc>
          <w:tcPr>
            <w:tcW w:w="659" w:type="dxa"/>
            <w:vMerge/>
            <w:tcBorders>
              <w:top w:val="single" w:sz="8" w:space="0" w:color="auto"/>
              <w:left w:val="single" w:sz="8" w:space="0" w:color="auto"/>
              <w:bottom w:val="single" w:sz="8" w:space="0" w:color="auto"/>
              <w:right w:val="single" w:sz="8" w:space="0" w:color="auto"/>
            </w:tcBorders>
            <w:noWrap/>
            <w:vAlign w:val="center"/>
          </w:tcPr>
          <w:p/>
        </w:tc>
        <w:tc>
          <w:tcPr>
            <w:tcW w:w="885" w:type="dxa"/>
            <w:vMerge/>
            <w:tcBorders>
              <w:top w:val="single" w:sz="8" w:space="0" w:color="auto"/>
              <w:left w:val="nil"/>
              <w:bottom w:val="single" w:sz="8" w:space="0" w:color="auto"/>
              <w:right w:val="single" w:sz="8" w:space="0" w:color="auto"/>
            </w:tcBorders>
            <w:noWrap/>
            <w:vAlign w:val="center"/>
          </w:tcPr>
          <w:p/>
        </w:tc>
        <w:tc>
          <w:tcPr>
            <w:tcW w:w="25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Times New Roman" w:cs="Times New Roman" w:hAnsi="Times New Roman"/>
                <w:kern w:val="0"/>
                <w:sz w:val="24"/>
                <w:szCs w:val="24"/>
              </w:rPr>
            </w:pPr>
            <w:r>
              <w:rPr>
                <w:rFonts w:ascii="Times New Roman" w:cs="Times New Roman" w:hAnsi="Times New Roman"/>
                <w:kern w:val="0"/>
                <w:sz w:val="24"/>
                <w:szCs w:val="24"/>
              </w:rPr>
              <w:t>5.属于三类内部事务信息</w:t>
            </w:r>
          </w:p>
        </w:tc>
        <w:tc>
          <w:tcPr>
            <w:tcW w:w="45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73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6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7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810"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48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4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r>
      <w:tr>
        <w:trPr>
          <w:trHeight w:val="486"/>
        </w:trPr>
        <w:tc>
          <w:tcPr>
            <w:tcW w:w="659" w:type="dxa"/>
            <w:vMerge/>
            <w:tcBorders>
              <w:top w:val="single" w:sz="8" w:space="0" w:color="auto"/>
              <w:left w:val="single" w:sz="8" w:space="0" w:color="auto"/>
              <w:bottom w:val="single" w:sz="8" w:space="0" w:color="auto"/>
              <w:right w:val="single" w:sz="8" w:space="0" w:color="auto"/>
            </w:tcBorders>
            <w:noWrap/>
            <w:vAlign w:val="center"/>
          </w:tcPr>
          <w:p/>
        </w:tc>
        <w:tc>
          <w:tcPr>
            <w:tcW w:w="885" w:type="dxa"/>
            <w:vMerge/>
            <w:tcBorders>
              <w:top w:val="single" w:sz="8" w:space="0" w:color="auto"/>
              <w:left w:val="nil"/>
              <w:bottom w:val="single" w:sz="8" w:space="0" w:color="auto"/>
              <w:right w:val="single" w:sz="8" w:space="0" w:color="auto"/>
            </w:tcBorders>
            <w:noWrap/>
            <w:vAlign w:val="center"/>
          </w:tcPr>
          <w:p/>
        </w:tc>
        <w:tc>
          <w:tcPr>
            <w:tcW w:w="25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Times New Roman" w:cs="Times New Roman" w:hAnsi="Times New Roman"/>
                <w:kern w:val="0"/>
                <w:sz w:val="24"/>
                <w:szCs w:val="24"/>
              </w:rPr>
            </w:pPr>
            <w:r>
              <w:rPr>
                <w:rFonts w:ascii="Times New Roman" w:cs="Times New Roman" w:hAnsi="Times New Roman"/>
                <w:kern w:val="0"/>
                <w:sz w:val="24"/>
                <w:szCs w:val="24"/>
              </w:rPr>
              <w:t>6.属于四类过程性信息</w:t>
            </w:r>
          </w:p>
        </w:tc>
        <w:tc>
          <w:tcPr>
            <w:tcW w:w="45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73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6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7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810"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48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4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r>
      <w:tr>
        <w:trPr>
          <w:trHeight w:val="428"/>
        </w:trPr>
        <w:tc>
          <w:tcPr>
            <w:tcW w:w="659" w:type="dxa"/>
            <w:vMerge/>
            <w:tcBorders>
              <w:top w:val="single" w:sz="8" w:space="0" w:color="auto"/>
              <w:left w:val="single" w:sz="8" w:space="0" w:color="auto"/>
              <w:bottom w:val="single" w:sz="8" w:space="0" w:color="auto"/>
              <w:right w:val="single" w:sz="8" w:space="0" w:color="auto"/>
            </w:tcBorders>
            <w:noWrap/>
            <w:vAlign w:val="center"/>
          </w:tcPr>
          <w:p/>
        </w:tc>
        <w:tc>
          <w:tcPr>
            <w:tcW w:w="885" w:type="dxa"/>
            <w:vMerge/>
            <w:tcBorders>
              <w:top w:val="single" w:sz="8" w:space="0" w:color="auto"/>
              <w:left w:val="nil"/>
              <w:bottom w:val="single" w:sz="8" w:space="0" w:color="auto"/>
              <w:right w:val="single" w:sz="8" w:space="0" w:color="auto"/>
            </w:tcBorders>
            <w:noWrap/>
            <w:vAlign w:val="center"/>
          </w:tcPr>
          <w:p/>
        </w:tc>
        <w:tc>
          <w:tcPr>
            <w:tcW w:w="25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Times New Roman" w:cs="Times New Roman" w:hAnsi="Times New Roman"/>
                <w:kern w:val="0"/>
                <w:sz w:val="24"/>
                <w:szCs w:val="24"/>
              </w:rPr>
            </w:pPr>
            <w:r>
              <w:rPr>
                <w:rFonts w:ascii="Times New Roman" w:cs="Times New Roman" w:hAnsi="Times New Roman"/>
                <w:kern w:val="0"/>
                <w:sz w:val="24"/>
                <w:szCs w:val="24"/>
              </w:rPr>
              <w:t>7.属于行政执法案卷</w:t>
            </w:r>
          </w:p>
        </w:tc>
        <w:tc>
          <w:tcPr>
            <w:tcW w:w="45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73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6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7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810"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48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4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r>
      <w:tr>
        <w:trPr>
          <w:trHeight w:val="428"/>
        </w:trPr>
        <w:tc>
          <w:tcPr>
            <w:tcW w:w="659" w:type="dxa"/>
            <w:vMerge/>
            <w:tcBorders>
              <w:top w:val="single" w:sz="8" w:space="0" w:color="auto"/>
              <w:left w:val="single" w:sz="8" w:space="0" w:color="auto"/>
              <w:bottom w:val="single" w:sz="8" w:space="0" w:color="auto"/>
              <w:right w:val="single" w:sz="8" w:space="0" w:color="auto"/>
            </w:tcBorders>
            <w:noWrap/>
            <w:vAlign w:val="center"/>
          </w:tcPr>
          <w:p/>
        </w:tc>
        <w:tc>
          <w:tcPr>
            <w:tcW w:w="885" w:type="dxa"/>
            <w:vMerge/>
            <w:tcBorders>
              <w:top w:val="single" w:sz="8" w:space="0" w:color="auto"/>
              <w:left w:val="nil"/>
              <w:bottom w:val="single" w:sz="8" w:space="0" w:color="auto"/>
              <w:right w:val="single" w:sz="8" w:space="0" w:color="auto"/>
            </w:tcBorders>
            <w:noWrap/>
            <w:vAlign w:val="center"/>
          </w:tcPr>
          <w:p/>
        </w:tc>
        <w:tc>
          <w:tcPr>
            <w:tcW w:w="25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Times New Roman" w:cs="Times New Roman" w:hAnsi="Times New Roman"/>
                <w:kern w:val="0"/>
                <w:sz w:val="24"/>
                <w:szCs w:val="24"/>
              </w:rPr>
            </w:pPr>
            <w:r>
              <w:rPr>
                <w:rFonts w:ascii="Times New Roman" w:cs="Times New Roman" w:hAnsi="Times New Roman"/>
                <w:kern w:val="0"/>
                <w:sz w:val="24"/>
                <w:szCs w:val="24"/>
              </w:rPr>
              <w:t>8.属于行政查询事项</w:t>
            </w:r>
          </w:p>
        </w:tc>
        <w:tc>
          <w:tcPr>
            <w:tcW w:w="45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73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6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7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810"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48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4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r>
      <w:tr>
        <w:trPr>
          <w:trHeight w:val="683"/>
        </w:trPr>
        <w:tc>
          <w:tcPr>
            <w:tcW w:w="659" w:type="dxa"/>
            <w:vMerge/>
            <w:tcBorders>
              <w:top w:val="single" w:sz="8" w:space="0" w:color="auto"/>
              <w:left w:val="single" w:sz="8" w:space="0" w:color="auto"/>
              <w:bottom w:val="single" w:sz="8" w:space="0" w:color="auto"/>
              <w:right w:val="single" w:sz="8" w:space="0" w:color="auto"/>
            </w:tcBorders>
            <w:noWrap/>
            <w:vAlign w:val="center"/>
          </w:tcPr>
          <w:p/>
        </w:tc>
        <w:tc>
          <w:tcPr>
            <w:tcW w:w="885" w:type="dxa"/>
            <w:vMerge w:val="restart"/>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（四）无法</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提供</w:t>
            </w:r>
          </w:p>
        </w:tc>
        <w:tc>
          <w:tcPr>
            <w:tcW w:w="25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Times New Roman" w:cs="Times New Roman" w:hAnsi="Times New Roman"/>
                <w:kern w:val="0"/>
                <w:sz w:val="24"/>
                <w:szCs w:val="24"/>
              </w:rPr>
            </w:pPr>
            <w:r>
              <w:rPr>
                <w:rFonts w:ascii="Times New Roman" w:cs="Times New Roman" w:hAnsi="Times New Roman"/>
                <w:kern w:val="0"/>
                <w:sz w:val="24"/>
                <w:szCs w:val="24"/>
              </w:rPr>
              <w:t>1.本机关不掌握相关政府信息</w:t>
            </w:r>
          </w:p>
        </w:tc>
        <w:tc>
          <w:tcPr>
            <w:tcW w:w="45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73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6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7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810"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48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4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r>
      <w:tr>
        <w:trPr>
          <w:trHeight w:val="683"/>
        </w:trPr>
        <w:tc>
          <w:tcPr>
            <w:tcW w:w="659" w:type="dxa"/>
            <w:vMerge/>
            <w:tcBorders>
              <w:top w:val="single" w:sz="8" w:space="0" w:color="auto"/>
              <w:left w:val="single" w:sz="8" w:space="0" w:color="auto"/>
              <w:bottom w:val="single" w:sz="8" w:space="0" w:color="auto"/>
              <w:right w:val="single" w:sz="8" w:space="0" w:color="auto"/>
            </w:tcBorders>
            <w:noWrap/>
            <w:vAlign w:val="center"/>
          </w:tcPr>
          <w:p/>
        </w:tc>
        <w:tc>
          <w:tcPr>
            <w:tcW w:w="885" w:type="dxa"/>
            <w:vMerge/>
            <w:tcBorders>
              <w:top w:val="single" w:sz="8" w:space="0" w:color="auto"/>
              <w:left w:val="nil"/>
              <w:bottom w:val="single" w:sz="8" w:space="0" w:color="auto"/>
              <w:right w:val="single" w:sz="8" w:space="0" w:color="auto"/>
            </w:tcBorders>
            <w:noWrap/>
            <w:vAlign w:val="center"/>
          </w:tcPr>
          <w:p/>
        </w:tc>
        <w:tc>
          <w:tcPr>
            <w:tcW w:w="25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Times New Roman" w:cs="Times New Roman" w:hAnsi="Times New Roman"/>
                <w:kern w:val="0"/>
                <w:sz w:val="24"/>
                <w:szCs w:val="24"/>
              </w:rPr>
            </w:pPr>
            <w:r>
              <w:rPr>
                <w:rFonts w:ascii="Times New Roman" w:cs="Times New Roman" w:hAnsi="Times New Roman"/>
                <w:kern w:val="0"/>
                <w:sz w:val="24"/>
                <w:szCs w:val="24"/>
              </w:rPr>
              <w:t>2.没有现成信息需要另行制作</w:t>
            </w:r>
          </w:p>
        </w:tc>
        <w:tc>
          <w:tcPr>
            <w:tcW w:w="45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73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6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7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810"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48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4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r>
      <w:tr>
        <w:trPr>
          <w:trHeight w:val="607"/>
        </w:trPr>
        <w:tc>
          <w:tcPr>
            <w:tcW w:w="659" w:type="dxa"/>
            <w:vMerge/>
            <w:tcBorders>
              <w:top w:val="single" w:sz="8" w:space="0" w:color="auto"/>
              <w:left w:val="single" w:sz="8" w:space="0" w:color="auto"/>
              <w:bottom w:val="single" w:sz="8" w:space="0" w:color="auto"/>
              <w:right w:val="single" w:sz="8" w:space="0" w:color="auto"/>
            </w:tcBorders>
            <w:noWrap/>
            <w:vAlign w:val="center"/>
          </w:tcPr>
          <w:p/>
        </w:tc>
        <w:tc>
          <w:tcPr>
            <w:tcW w:w="885" w:type="dxa"/>
            <w:vMerge/>
            <w:tcBorders>
              <w:top w:val="single" w:sz="8" w:space="0" w:color="auto"/>
              <w:left w:val="nil"/>
              <w:bottom w:val="single" w:sz="8" w:space="0" w:color="auto"/>
              <w:right w:val="single" w:sz="8" w:space="0" w:color="auto"/>
            </w:tcBorders>
            <w:noWrap/>
            <w:vAlign w:val="center"/>
          </w:tcPr>
          <w:p/>
        </w:tc>
        <w:tc>
          <w:tcPr>
            <w:tcW w:w="25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Times New Roman" w:cs="Times New Roman" w:hAnsi="Times New Roman"/>
                <w:kern w:val="0"/>
                <w:sz w:val="24"/>
                <w:szCs w:val="24"/>
              </w:rPr>
            </w:pPr>
            <w:r>
              <w:rPr>
                <w:rFonts w:ascii="Times New Roman" w:cs="Times New Roman" w:hAnsi="Times New Roman"/>
                <w:kern w:val="0"/>
                <w:sz w:val="24"/>
                <w:szCs w:val="24"/>
              </w:rPr>
              <w:t>3.补正后申请内容仍不明确</w:t>
            </w:r>
          </w:p>
        </w:tc>
        <w:tc>
          <w:tcPr>
            <w:tcW w:w="45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73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6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7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810"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48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4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r>
      <w:tr>
        <w:trPr>
          <w:trHeight w:val="523"/>
        </w:trPr>
        <w:tc>
          <w:tcPr>
            <w:tcW w:w="659" w:type="dxa"/>
            <w:vMerge/>
            <w:tcBorders>
              <w:top w:val="single" w:sz="8" w:space="0" w:color="auto"/>
              <w:left w:val="single" w:sz="8" w:space="0" w:color="auto"/>
              <w:bottom w:val="single" w:sz="8" w:space="0" w:color="auto"/>
              <w:right w:val="single" w:sz="8" w:space="0" w:color="auto"/>
            </w:tcBorders>
            <w:noWrap/>
            <w:vAlign w:val="center"/>
          </w:tcPr>
          <w:p/>
        </w:tc>
        <w:tc>
          <w:tcPr>
            <w:tcW w:w="885" w:type="dxa"/>
            <w:vMerge w:val="restart"/>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（五）不予</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处理</w:t>
            </w:r>
          </w:p>
        </w:tc>
        <w:tc>
          <w:tcPr>
            <w:tcW w:w="25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Times New Roman" w:cs="Times New Roman" w:hAnsi="Times New Roman"/>
                <w:kern w:val="0"/>
                <w:sz w:val="24"/>
                <w:szCs w:val="24"/>
              </w:rPr>
            </w:pPr>
            <w:r>
              <w:rPr>
                <w:rFonts w:ascii="Times New Roman" w:cs="Times New Roman" w:hAnsi="Times New Roman"/>
                <w:kern w:val="0"/>
                <w:sz w:val="24"/>
                <w:szCs w:val="24"/>
              </w:rPr>
              <w:t>1.信访举报投诉类申请</w:t>
            </w:r>
          </w:p>
        </w:tc>
        <w:tc>
          <w:tcPr>
            <w:tcW w:w="45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73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6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7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810"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48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4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r>
      <w:tr>
        <w:trPr>
          <w:trHeight w:val="364"/>
        </w:trPr>
        <w:tc>
          <w:tcPr>
            <w:tcW w:w="659" w:type="dxa"/>
            <w:vMerge/>
            <w:tcBorders>
              <w:top w:val="single" w:sz="8" w:space="0" w:color="auto"/>
              <w:left w:val="single" w:sz="8" w:space="0" w:color="auto"/>
              <w:bottom w:val="single" w:sz="8" w:space="0" w:color="auto"/>
              <w:right w:val="single" w:sz="8" w:space="0" w:color="auto"/>
            </w:tcBorders>
            <w:noWrap/>
            <w:vAlign w:val="center"/>
          </w:tcPr>
          <w:p/>
        </w:tc>
        <w:tc>
          <w:tcPr>
            <w:tcW w:w="885" w:type="dxa"/>
            <w:vMerge/>
            <w:tcBorders>
              <w:top w:val="single" w:sz="8" w:space="0" w:color="auto"/>
              <w:left w:val="nil"/>
              <w:bottom w:val="single" w:sz="8" w:space="0" w:color="auto"/>
              <w:right w:val="single" w:sz="8" w:space="0" w:color="auto"/>
            </w:tcBorders>
            <w:noWrap/>
            <w:vAlign w:val="center"/>
          </w:tcPr>
          <w:p/>
        </w:tc>
        <w:tc>
          <w:tcPr>
            <w:tcW w:w="25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Times New Roman" w:cs="Times New Roman" w:hAnsi="Times New Roman"/>
                <w:kern w:val="0"/>
                <w:sz w:val="24"/>
                <w:szCs w:val="24"/>
              </w:rPr>
            </w:pPr>
            <w:r>
              <w:rPr>
                <w:rFonts w:ascii="Times New Roman" w:cs="Times New Roman" w:hAnsi="Times New Roman"/>
                <w:kern w:val="0"/>
                <w:sz w:val="24"/>
                <w:szCs w:val="24"/>
              </w:rPr>
              <w:t>2.重复申请</w:t>
            </w:r>
          </w:p>
        </w:tc>
        <w:tc>
          <w:tcPr>
            <w:tcW w:w="45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73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6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7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810"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48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4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r>
      <w:tr>
        <w:trPr>
          <w:trHeight w:val="523"/>
        </w:trPr>
        <w:tc>
          <w:tcPr>
            <w:tcW w:w="659" w:type="dxa"/>
            <w:vMerge/>
            <w:tcBorders>
              <w:top w:val="single" w:sz="8" w:space="0" w:color="auto"/>
              <w:left w:val="single" w:sz="8" w:space="0" w:color="auto"/>
              <w:bottom w:val="single" w:sz="8" w:space="0" w:color="auto"/>
              <w:right w:val="single" w:sz="8" w:space="0" w:color="auto"/>
            </w:tcBorders>
            <w:noWrap/>
            <w:vAlign w:val="center"/>
          </w:tcPr>
          <w:p/>
        </w:tc>
        <w:tc>
          <w:tcPr>
            <w:tcW w:w="885" w:type="dxa"/>
            <w:vMerge/>
            <w:tcBorders>
              <w:top w:val="single" w:sz="8" w:space="0" w:color="auto"/>
              <w:left w:val="nil"/>
              <w:bottom w:val="single" w:sz="8" w:space="0" w:color="auto"/>
              <w:right w:val="single" w:sz="8" w:space="0" w:color="auto"/>
            </w:tcBorders>
            <w:noWrap/>
            <w:vAlign w:val="center"/>
          </w:tcPr>
          <w:p/>
        </w:tc>
        <w:tc>
          <w:tcPr>
            <w:tcW w:w="25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Times New Roman" w:cs="Times New Roman" w:hAnsi="Times New Roman"/>
                <w:kern w:val="0"/>
                <w:sz w:val="24"/>
                <w:szCs w:val="24"/>
              </w:rPr>
            </w:pPr>
            <w:r>
              <w:rPr>
                <w:rFonts w:ascii="Times New Roman" w:cs="Times New Roman" w:hAnsi="Times New Roman"/>
                <w:kern w:val="0"/>
                <w:sz w:val="24"/>
                <w:szCs w:val="24"/>
              </w:rPr>
              <w:t>3.要求提供公开出版物</w:t>
            </w:r>
          </w:p>
        </w:tc>
        <w:tc>
          <w:tcPr>
            <w:tcW w:w="45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73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6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7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810"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48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4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r>
      <w:tr>
        <w:trPr>
          <w:trHeight w:val="607"/>
        </w:trPr>
        <w:tc>
          <w:tcPr>
            <w:tcW w:w="659" w:type="dxa"/>
            <w:vMerge/>
            <w:tcBorders>
              <w:top w:val="single" w:sz="8" w:space="0" w:color="auto"/>
              <w:left w:val="single" w:sz="8" w:space="0" w:color="auto"/>
              <w:bottom w:val="single" w:sz="8" w:space="0" w:color="auto"/>
              <w:right w:val="single" w:sz="8" w:space="0" w:color="auto"/>
            </w:tcBorders>
            <w:noWrap/>
            <w:vAlign w:val="center"/>
          </w:tcPr>
          <w:p/>
        </w:tc>
        <w:tc>
          <w:tcPr>
            <w:tcW w:w="885" w:type="dxa"/>
            <w:vMerge/>
            <w:tcBorders>
              <w:top w:val="single" w:sz="8" w:space="0" w:color="auto"/>
              <w:left w:val="nil"/>
              <w:bottom w:val="single" w:sz="8" w:space="0" w:color="auto"/>
              <w:right w:val="single" w:sz="8" w:space="0" w:color="auto"/>
            </w:tcBorders>
            <w:noWrap/>
            <w:vAlign w:val="center"/>
          </w:tcPr>
          <w:p/>
        </w:tc>
        <w:tc>
          <w:tcPr>
            <w:tcW w:w="25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Times New Roman" w:cs="Times New Roman" w:hAnsi="Times New Roman"/>
                <w:kern w:val="0"/>
                <w:sz w:val="24"/>
                <w:szCs w:val="24"/>
              </w:rPr>
            </w:pPr>
            <w:r>
              <w:rPr>
                <w:rFonts w:ascii="Times New Roman" w:cs="Times New Roman" w:hAnsi="Times New Roman"/>
                <w:kern w:val="0"/>
                <w:sz w:val="24"/>
                <w:szCs w:val="24"/>
              </w:rPr>
              <w:t>4.无正当理由大量反复申请</w:t>
            </w:r>
          </w:p>
        </w:tc>
        <w:tc>
          <w:tcPr>
            <w:tcW w:w="45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73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6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7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810"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48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4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r>
      <w:tr>
        <w:trPr>
          <w:trHeight w:val="842"/>
        </w:trPr>
        <w:tc>
          <w:tcPr>
            <w:tcW w:w="659" w:type="dxa"/>
            <w:vMerge/>
            <w:tcBorders>
              <w:top w:val="single" w:sz="8" w:space="0" w:color="auto"/>
              <w:left w:val="single" w:sz="8" w:space="0" w:color="auto"/>
              <w:bottom w:val="single" w:sz="8" w:space="0" w:color="auto"/>
              <w:right w:val="single" w:sz="8" w:space="0" w:color="auto"/>
            </w:tcBorders>
            <w:noWrap/>
            <w:vAlign w:val="center"/>
          </w:tcPr>
          <w:p/>
        </w:tc>
        <w:tc>
          <w:tcPr>
            <w:tcW w:w="885" w:type="dxa"/>
            <w:vMerge/>
            <w:tcBorders>
              <w:top w:val="single" w:sz="8" w:space="0" w:color="auto"/>
              <w:left w:val="nil"/>
              <w:bottom w:val="single" w:sz="8" w:space="0" w:color="auto"/>
              <w:right w:val="single" w:sz="8" w:space="0" w:color="auto"/>
            </w:tcBorders>
            <w:noWrap/>
            <w:vAlign w:val="center"/>
          </w:tcPr>
          <w:p/>
        </w:tc>
        <w:tc>
          <w:tcPr>
            <w:tcW w:w="25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Times New Roman" w:cs="Times New Roman" w:hAnsi="Times New Roman"/>
                <w:kern w:val="0"/>
                <w:sz w:val="24"/>
                <w:szCs w:val="24"/>
              </w:rPr>
            </w:pPr>
            <w:r>
              <w:rPr>
                <w:rFonts w:ascii="Times New Roman" w:cs="Times New Roman" w:hAnsi="Times New Roman"/>
                <w:kern w:val="0"/>
                <w:sz w:val="24"/>
                <w:szCs w:val="24"/>
              </w:rPr>
              <w:t>5.要求行政机关确认或重新出具已获取信息</w:t>
            </w:r>
          </w:p>
        </w:tc>
        <w:tc>
          <w:tcPr>
            <w:tcW w:w="45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73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6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7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810"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48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4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r>
      <w:tr>
        <w:trPr>
          <w:trHeight w:val="1319"/>
        </w:trPr>
        <w:tc>
          <w:tcPr>
            <w:tcW w:w="659" w:type="dxa"/>
            <w:vMerge/>
            <w:tcBorders>
              <w:top w:val="single" w:sz="8" w:space="0" w:color="auto"/>
              <w:left w:val="single" w:sz="8" w:space="0" w:color="auto"/>
              <w:bottom w:val="single" w:sz="8" w:space="0" w:color="auto"/>
              <w:right w:val="single" w:sz="8" w:space="0" w:color="auto"/>
            </w:tcBorders>
            <w:noWrap/>
            <w:vAlign w:val="center"/>
          </w:tcPr>
          <w:p/>
        </w:tc>
        <w:tc>
          <w:tcPr>
            <w:tcW w:w="885" w:type="dxa"/>
            <w:vMerge w:val="restart"/>
            <w:tcBorders>
              <w:top w:val="single" w:sz="8" w:space="0" w:color="auto"/>
              <w:left w:val="nil"/>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cs="Times New Roman" w:hAnsi="Times New Roman"/>
                <w:kern w:val="0"/>
                <w:sz w:val="24"/>
                <w:szCs w:val="24"/>
              </w:rPr>
            </w:pPr>
            <w:r>
              <w:rPr>
                <w:rFonts w:ascii="Times New Roman" w:cs="Times New Roman" w:hAnsi="Times New Roman"/>
                <w:kern w:val="0"/>
                <w:sz w:val="24"/>
                <w:szCs w:val="24"/>
              </w:rPr>
              <w:t>（六）其他处理</w:t>
            </w:r>
          </w:p>
        </w:tc>
        <w:tc>
          <w:tcPr>
            <w:tcW w:w="25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1.申请人无正当理由逾期不补正、行政机关不再处理其政府信息公开申请</w:t>
            </w:r>
          </w:p>
        </w:tc>
        <w:tc>
          <w:tcPr>
            <w:tcW w:w="457"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737"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693"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781"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810"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483"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481"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r>
      <w:tr>
        <w:trPr>
          <w:trHeight w:val="1479"/>
        </w:trPr>
        <w:tc>
          <w:tcPr>
            <w:tcW w:w="659" w:type="dxa"/>
            <w:vMerge/>
            <w:tcBorders>
              <w:top w:val="single" w:sz="8" w:space="0" w:color="auto"/>
              <w:left w:val="single" w:sz="8" w:space="0" w:color="auto"/>
              <w:bottom w:val="single" w:sz="8" w:space="0" w:color="auto"/>
              <w:right w:val="single" w:sz="8" w:space="0" w:color="auto"/>
            </w:tcBorders>
            <w:noWrap/>
            <w:vAlign w:val="center"/>
          </w:tcPr>
          <w:p/>
        </w:tc>
        <w:tc>
          <w:tcPr>
            <w:tcW w:w="885" w:type="dxa"/>
            <w:vMerge/>
            <w:tcBorders>
              <w:left w:val="nil"/>
              <w:right w:val="single" w:sz="8" w:space="0" w:color="auto"/>
            </w:tcBorders>
            <w:noWrap/>
            <w:tcMar>
              <w:left w:w="108" w:type="dxa"/>
              <w:right w:w="108" w:type="dxa"/>
            </w:tcMar>
            <w:vAlign w:val="center"/>
          </w:tcPr>
          <w:p/>
        </w:tc>
        <w:tc>
          <w:tcPr>
            <w:tcW w:w="25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2.申请人逾期未按收费通知要求缴纳费用、行政机关不再处理其政府信息公开申请</w:t>
            </w:r>
          </w:p>
        </w:tc>
        <w:tc>
          <w:tcPr>
            <w:tcW w:w="457"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737"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693"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781"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810"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483"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481"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r>
      <w:tr>
        <w:trPr>
          <w:trHeight w:val="324"/>
        </w:trPr>
        <w:tc>
          <w:tcPr>
            <w:tcW w:w="659" w:type="dxa"/>
            <w:vMerge/>
            <w:tcBorders>
              <w:left w:val="single" w:sz="8" w:space="0" w:color="auto"/>
              <w:bottom w:val="single" w:sz="8" w:space="0" w:color="auto"/>
              <w:right w:val="single" w:sz="8" w:space="0" w:color="auto"/>
            </w:tcBorders>
            <w:noWrap/>
            <w:vAlign w:val="center"/>
          </w:tcPr>
          <w:p/>
        </w:tc>
        <w:tc>
          <w:tcPr>
            <w:tcW w:w="885" w:type="dxa"/>
            <w:vMerge/>
            <w:tcBorders>
              <w:left w:val="nil"/>
              <w:bottom w:val="single" w:sz="8" w:space="0" w:color="auto"/>
              <w:right w:val="single" w:sz="8" w:space="0" w:color="auto"/>
            </w:tcBorders>
            <w:noWrap/>
            <w:tcMar>
              <w:left w:w="108" w:type="dxa"/>
              <w:right w:w="108" w:type="dxa"/>
            </w:tcMar>
            <w:vAlign w:val="center"/>
          </w:tcPr>
          <w:p/>
        </w:tc>
        <w:tc>
          <w:tcPr>
            <w:tcW w:w="25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3.其他</w:t>
            </w:r>
          </w:p>
        </w:tc>
        <w:tc>
          <w:tcPr>
            <w:tcW w:w="457"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737"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693"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781"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810"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483"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481" w:type="dxa"/>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r>
      <w:tr>
        <w:trPr>
          <w:trHeight w:val="324"/>
        </w:trPr>
        <w:tc>
          <w:tcPr>
            <w:tcW w:w="659" w:type="dxa"/>
            <w:vMerge/>
            <w:tcBorders>
              <w:top w:val="single" w:sz="8" w:space="0" w:color="auto"/>
              <w:left w:val="single" w:sz="8" w:space="0" w:color="auto"/>
              <w:bottom w:val="single" w:sz="8" w:space="0" w:color="auto"/>
              <w:right w:val="single" w:sz="8" w:space="0" w:color="auto"/>
            </w:tcBorders>
            <w:noWrap/>
            <w:vAlign w:val="center"/>
          </w:tcPr>
          <w:p/>
        </w:tc>
        <w:tc>
          <w:tcPr>
            <w:tcW w:w="3478" w:type="dxa"/>
            <w:gridSpan w:val="2"/>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cs="Times New Roman" w:hAnsi="Times New Roman"/>
                <w:kern w:val="0"/>
                <w:sz w:val="24"/>
                <w:szCs w:val="24"/>
              </w:rPr>
            </w:pPr>
            <w:r>
              <w:rPr>
                <w:rFonts w:ascii="Times New Roman" w:cs="Times New Roman" w:hAnsi="Times New Roman"/>
                <w:kern w:val="0"/>
                <w:sz w:val="24"/>
                <w:szCs w:val="24"/>
              </w:rPr>
              <w:t>（七）总计</w:t>
            </w:r>
          </w:p>
        </w:tc>
        <w:tc>
          <w:tcPr>
            <w:tcW w:w="45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73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6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7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810"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48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4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r>
      <w:tr>
        <w:trPr>
          <w:trHeight w:val="361"/>
        </w:trPr>
        <w:tc>
          <w:tcPr>
            <w:tcW w:w="4137" w:type="dxa"/>
            <w:gridSpan w:val="3"/>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cs="Times New Roman" w:hAnsi="Times New Roman"/>
                <w:kern w:val="0"/>
                <w:sz w:val="24"/>
                <w:szCs w:val="24"/>
              </w:rPr>
            </w:pPr>
            <w:r>
              <w:rPr>
                <w:rFonts w:ascii="Times New Roman" w:cs="Times New Roman" w:hAnsi="Times New Roman"/>
                <w:kern w:val="0"/>
                <w:sz w:val="24"/>
                <w:szCs w:val="24"/>
              </w:rPr>
              <w:t>四、结转下年度继续办理</w:t>
            </w:r>
          </w:p>
        </w:tc>
        <w:tc>
          <w:tcPr>
            <w:tcW w:w="45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737"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69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7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810"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48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481"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r>
    </w:tbl>
    <w:p>
      <w:pPr>
        <w:widowControl/>
        <w:shd w:val="clear" w:color="auto" w:fill="FFFFFF"/>
        <w:spacing w:line="560" w:lineRule="exact"/>
        <w:rPr>
          <w:rFonts w:ascii="Times New Roman" w:eastAsia="黑体" w:cs="Times New Roman" w:hAnsi="Times New Roman"/>
          <w:bCs/>
          <w:color w:val="333333"/>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afterLines="100" w:after="312" w:line="560" w:lineRule="exact"/>
        <w:ind w:firstLineChars="200" w:firstLine="640"/>
        <w:textAlignment w:val="auto"/>
        <w:rPr>
          <w:rFonts w:ascii="Times New Roman" w:eastAsia="黑体" w:cs="Times New Roman" w:hAnsi="Times New Roman"/>
          <w:color w:val="333333"/>
          <w:kern w:val="0"/>
          <w:sz w:val="32"/>
          <w:szCs w:val="32"/>
        </w:rPr>
      </w:pPr>
      <w:r>
        <w:rPr>
          <w:rFonts w:ascii="Times New Roman" w:eastAsia="黑体" w:cs="Times New Roman" w:hAnsi="Times New Roman"/>
          <w:bCs/>
          <w:color w:val="333333"/>
          <w:kern w:val="0"/>
          <w:sz w:val="32"/>
          <w:szCs w:val="32"/>
        </w:rPr>
        <w:t>四、政府信息公开行政复议、行政诉讼情况</w:t>
      </w:r>
    </w:p>
    <w:tbl>
      <w:tblPr>
        <w:jc w:val="center"/>
        <w:tblW w:w="9071"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601"/>
        <w:gridCol w:w="601"/>
        <w:gridCol w:w="601"/>
        <w:gridCol w:w="601"/>
        <w:gridCol w:w="654"/>
        <w:gridCol w:w="576"/>
        <w:gridCol w:w="605"/>
        <w:gridCol w:w="605"/>
        <w:gridCol w:w="605"/>
        <w:gridCol w:w="605"/>
        <w:gridCol w:w="603"/>
        <w:gridCol w:w="603"/>
        <w:gridCol w:w="603"/>
        <w:gridCol w:w="604"/>
        <w:gridCol w:w="604"/>
      </w:tblGrid>
      <w:tr>
        <w:tc>
          <w:tcPr>
            <w:tcW w:w="3058" w:type="dxa"/>
            <w:gridSpan w:val="5"/>
            <w:tcBorders>
              <w:top w:val="single" w:sz="8" w:space="0" w:color="auto"/>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行政复议</w:t>
            </w:r>
          </w:p>
        </w:tc>
        <w:tc>
          <w:tcPr>
            <w:tcW w:w="6013" w:type="dxa"/>
            <w:gridSpan w:val="10"/>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行政诉讼</w:t>
            </w:r>
          </w:p>
        </w:tc>
      </w:tr>
      <w:tr>
        <w:tc>
          <w:tcPr>
            <w:tcW w:w="601" w:type="dxa"/>
            <w:vMerge w:val="restart"/>
            <w:tcBorders>
              <w:top w:val="nil"/>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结果维持</w:t>
            </w:r>
          </w:p>
        </w:tc>
        <w:tc>
          <w:tcPr>
            <w:tcW w:w="601" w:type="dxa"/>
            <w:vMerge w:val="restart"/>
            <w:tcBorders>
              <w:top w:val="nil"/>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结果纠正</w:t>
            </w:r>
          </w:p>
        </w:tc>
        <w:tc>
          <w:tcPr>
            <w:tcW w:w="601" w:type="dxa"/>
            <w:vMerge w:val="restart"/>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其他结果</w:t>
            </w:r>
          </w:p>
        </w:tc>
        <w:tc>
          <w:tcPr>
            <w:tcW w:w="601" w:type="dxa"/>
            <w:vMerge w:val="restart"/>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尚未审结</w:t>
            </w:r>
          </w:p>
        </w:tc>
        <w:tc>
          <w:tcPr>
            <w:tcW w:w="654" w:type="dxa"/>
            <w:vMerge w:val="restart"/>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总计</w:t>
            </w:r>
          </w:p>
        </w:tc>
        <w:tc>
          <w:tcPr>
            <w:tcW w:w="2996" w:type="dxa"/>
            <w:gridSpan w:val="5"/>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未经复议直接起诉</w:t>
            </w:r>
          </w:p>
        </w:tc>
        <w:tc>
          <w:tcPr>
            <w:tcW w:w="3017" w:type="dxa"/>
            <w:gridSpan w:val="5"/>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复议后起诉</w:t>
            </w:r>
          </w:p>
        </w:tc>
      </w:tr>
      <w:tr>
        <w:trPr>
          <w:trHeight w:val="105"/>
        </w:trPr>
        <w:tc>
          <w:tcPr>
            <w:tcW w:w="601" w:type="dxa"/>
            <w:vMerge/>
            <w:tcBorders>
              <w:top w:val="nil"/>
              <w:left w:val="single" w:sz="8" w:space="0" w:color="auto"/>
              <w:bottom w:val="single" w:sz="8" w:space="0" w:color="auto"/>
              <w:right w:val="single" w:sz="8" w:space="0" w:color="auto"/>
            </w:tcBorders>
            <w:noWrap/>
            <w:vAlign w:val="center"/>
          </w:tcPr>
          <w:p/>
        </w:tc>
        <w:tc>
          <w:tcPr>
            <w:tcW w:w="601" w:type="dxa"/>
            <w:vMerge/>
            <w:tcBorders>
              <w:top w:val="nil"/>
              <w:left w:val="nil"/>
              <w:bottom w:val="single" w:sz="8" w:space="0" w:color="auto"/>
              <w:right w:val="single" w:sz="8" w:space="0" w:color="auto"/>
            </w:tcBorders>
            <w:noWrap/>
            <w:vAlign w:val="center"/>
          </w:tcPr>
          <w:p/>
        </w:tc>
        <w:tc>
          <w:tcPr>
            <w:tcW w:w="601" w:type="dxa"/>
            <w:vMerge/>
            <w:tcBorders>
              <w:top w:val="single" w:sz="8" w:space="0" w:color="auto"/>
              <w:left w:val="nil"/>
              <w:bottom w:val="single" w:sz="8" w:space="0" w:color="auto"/>
              <w:right w:val="single" w:sz="8" w:space="0" w:color="auto"/>
            </w:tcBorders>
            <w:noWrap/>
            <w:vAlign w:val="center"/>
          </w:tcPr>
          <w:p/>
        </w:tc>
        <w:tc>
          <w:tcPr>
            <w:tcW w:w="601" w:type="dxa"/>
            <w:vMerge/>
            <w:tcBorders>
              <w:top w:val="single" w:sz="8" w:space="0" w:color="auto"/>
              <w:left w:val="nil"/>
              <w:bottom w:val="single" w:sz="8" w:space="0" w:color="auto"/>
              <w:right w:val="single" w:sz="8" w:space="0" w:color="auto"/>
            </w:tcBorders>
            <w:noWrap/>
            <w:vAlign w:val="center"/>
          </w:tcPr>
          <w:p/>
        </w:tc>
        <w:tc>
          <w:tcPr>
            <w:tcW w:w="654" w:type="dxa"/>
            <w:vMerge/>
            <w:tcBorders>
              <w:top w:val="single" w:sz="8" w:space="0" w:color="auto"/>
              <w:left w:val="nil"/>
              <w:bottom w:val="single" w:sz="8" w:space="0" w:color="auto"/>
              <w:right w:val="single" w:sz="8" w:space="0" w:color="auto"/>
            </w:tcBorders>
            <w:noWrap/>
            <w:vAlign w:val="center"/>
          </w:tcPr>
          <w:p/>
        </w:tc>
        <w:tc>
          <w:tcPr>
            <w:tcW w:w="576" w:type="dxa"/>
            <w:tcBorders>
              <w:top w:val="nil"/>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结果维持</w:t>
            </w:r>
          </w:p>
        </w:tc>
        <w:tc>
          <w:tcPr>
            <w:tcW w:w="605" w:type="dxa"/>
            <w:tcBorders>
              <w:top w:val="nil"/>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结果纠正</w:t>
            </w:r>
          </w:p>
        </w:tc>
        <w:tc>
          <w:tcPr>
            <w:tcW w:w="605"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其他结果</w:t>
            </w:r>
          </w:p>
        </w:tc>
        <w:tc>
          <w:tcPr>
            <w:tcW w:w="605"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尚未审结</w:t>
            </w:r>
          </w:p>
        </w:tc>
        <w:tc>
          <w:tcPr>
            <w:tcW w:w="605"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color w:val="000000"/>
                <w:kern w:val="0"/>
                <w:sz w:val="24"/>
                <w:szCs w:val="24"/>
              </w:rPr>
              <w:t>总计</w:t>
            </w:r>
          </w:p>
        </w:tc>
        <w:tc>
          <w:tcPr>
            <w:tcW w:w="60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结果维持</w:t>
            </w:r>
          </w:p>
        </w:tc>
        <w:tc>
          <w:tcPr>
            <w:tcW w:w="60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结果纠正</w:t>
            </w:r>
          </w:p>
        </w:tc>
        <w:tc>
          <w:tcPr>
            <w:tcW w:w="603"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color w:val="000000"/>
                <w:kern w:val="0"/>
                <w:sz w:val="24"/>
                <w:szCs w:val="24"/>
              </w:rPr>
              <w:t>其他结果</w:t>
            </w:r>
          </w:p>
        </w:tc>
        <w:tc>
          <w:tcPr>
            <w:tcW w:w="604"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rPr>
              <w:t>尚未审结</w:t>
            </w:r>
          </w:p>
        </w:tc>
        <w:tc>
          <w:tcPr>
            <w:tcW w:w="604" w:type="dxa"/>
            <w:tcBorders>
              <w:top w:val="single" w:sz="8" w:space="0" w:color="auto"/>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color w:val="000000"/>
                <w:kern w:val="0"/>
                <w:sz w:val="24"/>
                <w:szCs w:val="24"/>
              </w:rPr>
              <w:t>总计</w:t>
            </w:r>
          </w:p>
        </w:tc>
      </w:tr>
      <w:tr>
        <w:trPr>
          <w:trHeight w:val="1068"/>
        </w:trPr>
        <w:tc>
          <w:tcPr>
            <w:tcW w:w="601" w:type="dxa"/>
            <w:tcBorders>
              <w:top w:val="nil"/>
              <w:left w:val="single" w:sz="8" w:space="0" w:color="auto"/>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601" w:type="dxa"/>
            <w:tcBorders>
              <w:top w:val="nil"/>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601" w:type="dxa"/>
            <w:tcBorders>
              <w:top w:val="nil"/>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601" w:type="dxa"/>
            <w:tcBorders>
              <w:top w:val="nil"/>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654" w:type="dxa"/>
            <w:tcBorders>
              <w:top w:val="nil"/>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576" w:type="dxa"/>
            <w:tcBorders>
              <w:top w:val="nil"/>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605" w:type="dxa"/>
            <w:tcBorders>
              <w:top w:val="nil"/>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605" w:type="dxa"/>
            <w:tcBorders>
              <w:top w:val="nil"/>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605" w:type="dxa"/>
            <w:tcBorders>
              <w:top w:val="nil"/>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605" w:type="dxa"/>
            <w:tcBorders>
              <w:top w:val="nil"/>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color w:val="000000"/>
                <w:kern w:val="0"/>
                <w:sz w:val="24"/>
                <w:szCs w:val="24"/>
                <w:lang w:val="en-US" w:eastAsia="zh-CN"/>
              </w:rPr>
              <w:t>0</w:t>
            </w:r>
          </w:p>
        </w:tc>
        <w:tc>
          <w:tcPr>
            <w:tcW w:w="603" w:type="dxa"/>
            <w:tcBorders>
              <w:top w:val="nil"/>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603" w:type="dxa"/>
            <w:tcBorders>
              <w:top w:val="nil"/>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cs="Times New Roman" w:hAnsi="Times New Roman"/>
                <w:kern w:val="0"/>
                <w:sz w:val="24"/>
                <w:szCs w:val="24"/>
              </w:rPr>
            </w:pPr>
            <w:r>
              <w:rPr>
                <w:rFonts w:ascii="Times New Roman" w:cs="Times New Roman" w:hAnsi="Times New Roman"/>
                <w:kern w:val="0"/>
                <w:sz w:val="24"/>
                <w:szCs w:val="24"/>
                <w:lang w:val="en-US" w:eastAsia="zh-CN"/>
              </w:rPr>
              <w:t>0</w:t>
            </w:r>
          </w:p>
        </w:tc>
        <w:tc>
          <w:tcPr>
            <w:tcW w:w="603" w:type="dxa"/>
            <w:tcBorders>
              <w:top w:val="nil"/>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color w:val="000000"/>
                <w:kern w:val="0"/>
                <w:sz w:val="24"/>
                <w:szCs w:val="24"/>
                <w:lang w:val="en-US" w:eastAsia="zh-CN"/>
              </w:rPr>
              <w:t>0</w:t>
            </w:r>
          </w:p>
        </w:tc>
        <w:tc>
          <w:tcPr>
            <w:tcW w:w="604" w:type="dxa"/>
            <w:tcBorders>
              <w:top w:val="nil"/>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c>
          <w:tcPr>
            <w:tcW w:w="604" w:type="dxa"/>
            <w:tcBorders>
              <w:top w:val="nil"/>
              <w:left w:val="nil"/>
              <w:bottom w:val="single" w:sz="8" w:space="0" w:color="auto"/>
              <w:right w:val="single" w:sz="8" w:space="0" w:color="auto"/>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eastAsia="仿宋_GB2312" w:cs="Times New Roman" w:hAnsi="Times New Roman"/>
                <w:kern w:val="0"/>
                <w:sz w:val="24"/>
                <w:szCs w:val="24"/>
                <w:lang w:val="en-US" w:eastAsia="zh-CN"/>
              </w:rPr>
            </w:pPr>
            <w:r>
              <w:rPr>
                <w:rFonts w:ascii="Times New Roman" w:cs="Times New Roman" w:hAnsi="Times New Roman"/>
                <w:kern w:val="0"/>
                <w:sz w:val="24"/>
                <w:szCs w:val="24"/>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Chars="200" w:firstLine="640"/>
        <w:textAlignment w:val="auto"/>
        <w:rPr>
          <w:rFonts w:ascii="Times New Roman" w:eastAsia="黑体" w:cs="Times New Roman" w:hAnsi="Times New Roman"/>
          <w:b w:val="0"/>
          <w:bCs w:val="0"/>
          <w:color w:val="333333"/>
          <w:kern w:val="0"/>
          <w:sz w:val="32"/>
          <w:szCs w:val="32"/>
        </w:rPr>
      </w:pPr>
      <w:r>
        <w:rPr>
          <w:rFonts w:ascii="Times New Roman" w:eastAsia="黑体" w:cs="Times New Roman" w:hAnsi="Times New Roman"/>
          <w:b w:val="0"/>
          <w:bCs w:val="0"/>
          <w:color w:val="333333"/>
          <w:kern w:val="0"/>
          <w:sz w:val="32"/>
          <w:szCs w:val="32"/>
        </w:rPr>
        <w:t>五、存在的主要问题及改进情况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Chars="200" w:firstLine="640"/>
        <w:textAlignment w:val="auto"/>
        <w:rPr>
          <w:rFonts w:ascii="Times New Roman" w:eastAsia="仿宋_GB2312" w:cs="Times New Roman" w:hAnsi="Times New Roman"/>
          <w:color w:val="333333"/>
          <w:kern w:val="0"/>
          <w:sz w:val="32"/>
          <w:szCs w:val="32"/>
        </w:rPr>
      </w:pPr>
      <w:r>
        <w:rPr>
          <w:rFonts w:ascii="Times New Roman" w:eastAsia="仿宋_GB2312" w:cs="Times New Roman" w:hAnsi="Times New Roman" w:hint="eastAsia"/>
          <w:color w:val="333333"/>
          <w:kern w:val="0"/>
          <w:sz w:val="32"/>
          <w:szCs w:val="32"/>
        </w:rPr>
        <w:t>我</w:t>
      </w:r>
      <w:r>
        <w:rPr>
          <w:rFonts w:ascii="Times New Roman" w:eastAsia="仿宋_GB2312" w:cs="Times New Roman" w:hAnsi="Times New Roman"/>
          <w:color w:val="333333"/>
          <w:kern w:val="0"/>
          <w:sz w:val="32"/>
          <w:szCs w:val="32"/>
        </w:rPr>
        <w:t>中心</w:t>
      </w:r>
      <w:r>
        <w:rPr>
          <w:rFonts w:ascii="Times New Roman" w:eastAsia="仿宋_GB2312" w:cs="Times New Roman" w:hAnsi="Times New Roman" w:hint="eastAsia"/>
          <w:color w:val="333333"/>
          <w:kern w:val="0"/>
          <w:sz w:val="32"/>
          <w:szCs w:val="32"/>
        </w:rPr>
        <w:t>政务公开工作总体运行状况良好，建立了较为完善的工作制度，有力推进了政务公开工作的开展，但仍存在一些问题：一是政务公开业务培训</w:t>
      </w:r>
      <w:r>
        <w:rPr>
          <w:rFonts w:ascii="Times New Roman" w:eastAsia="仿宋_GB2312" w:cs="Times New Roman" w:hAnsi="Times New Roman"/>
          <w:color w:val="333333"/>
          <w:kern w:val="0"/>
          <w:sz w:val="32"/>
          <w:szCs w:val="32"/>
        </w:rPr>
        <w:t>有所</w:t>
      </w:r>
      <w:r>
        <w:rPr>
          <w:rFonts w:ascii="Times New Roman" w:eastAsia="仿宋_GB2312" w:cs="Times New Roman" w:hAnsi="Times New Roman" w:hint="eastAsia"/>
          <w:color w:val="333333"/>
          <w:kern w:val="0"/>
          <w:sz w:val="32"/>
          <w:szCs w:val="32"/>
        </w:rPr>
        <w:t>不足，工作人员能力水平有待进一步提高；二是信息公开</w:t>
      </w:r>
      <w:r>
        <w:rPr>
          <w:rFonts w:ascii="Times New Roman" w:eastAsia="仿宋_GB2312" w:cs="Times New Roman" w:hAnsi="Times New Roman"/>
          <w:color w:val="333333"/>
          <w:kern w:val="0"/>
          <w:sz w:val="32"/>
          <w:szCs w:val="32"/>
        </w:rPr>
        <w:t>的</w:t>
      </w:r>
      <w:r>
        <w:rPr>
          <w:rFonts w:ascii="Times New Roman" w:eastAsia="仿宋_GB2312" w:cs="Times New Roman" w:hAnsi="Times New Roman" w:hint="eastAsia"/>
          <w:color w:val="333333"/>
          <w:kern w:val="0"/>
          <w:sz w:val="32"/>
          <w:szCs w:val="32"/>
        </w:rPr>
        <w:t>内容、流程等有待进一步</w:t>
      </w:r>
      <w:r>
        <w:rPr>
          <w:rFonts w:ascii="Times New Roman" w:eastAsia="仿宋_GB2312" w:cs="Times New Roman" w:hAnsi="Times New Roman"/>
          <w:color w:val="333333"/>
          <w:kern w:val="0"/>
          <w:sz w:val="32"/>
          <w:szCs w:val="32"/>
        </w:rPr>
        <w:t>优化</w:t>
      </w:r>
      <w:r>
        <w:rPr>
          <w:rFonts w:ascii="Times New Roman" w:eastAsia="仿宋_GB2312" w:cs="Times New Roman" w:hAnsi="Times New Roman" w:hint="eastAsia"/>
          <w:color w:val="333333"/>
          <w:kern w:val="0"/>
          <w:sz w:val="32"/>
          <w:szCs w:val="32"/>
        </w:rPr>
        <w:t>完善。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Chars="200" w:firstLine="640"/>
        <w:textAlignment w:val="auto"/>
        <w:rPr>
          <w:rFonts w:ascii="Times New Roman" w:eastAsia="仿宋_GB2312" w:cs="Times New Roman" w:hAnsi="Times New Roman"/>
          <w:color w:val="333333"/>
          <w:kern w:val="0"/>
          <w:sz w:val="32"/>
          <w:szCs w:val="32"/>
        </w:rPr>
      </w:pPr>
      <w:r>
        <w:rPr>
          <w:rFonts w:ascii="Times New Roman" w:eastAsia="仿宋_GB2312" w:cs="Times New Roman" w:hAnsi="Times New Roman" w:hint="eastAsia"/>
          <w:color w:val="333333"/>
          <w:kern w:val="0"/>
          <w:sz w:val="32"/>
          <w:szCs w:val="32"/>
        </w:rPr>
        <w:t>下一步，</w:t>
      </w:r>
      <w:r>
        <w:rPr>
          <w:rFonts w:ascii="Times New Roman" w:eastAsia="仿宋_GB2312" w:cs="Times New Roman" w:hAnsi="Times New Roman" w:hint="eastAsia"/>
          <w:color w:val="333333"/>
          <w:kern w:val="0"/>
          <w:sz w:val="32"/>
          <w:szCs w:val="32"/>
        </w:rPr>
        <w:t>我</w:t>
      </w:r>
      <w:r>
        <w:rPr>
          <w:rFonts w:ascii="Times New Roman" w:eastAsia="仿宋_GB2312" w:cs="Times New Roman" w:hAnsi="Times New Roman"/>
          <w:color w:val="333333"/>
          <w:kern w:val="0"/>
          <w:sz w:val="32"/>
          <w:szCs w:val="32"/>
        </w:rPr>
        <w:t>中心</w:t>
      </w:r>
      <w:r>
        <w:rPr>
          <w:rFonts w:ascii="Times New Roman" w:eastAsia="仿宋_GB2312" w:cs="Times New Roman" w:hAnsi="Times New Roman" w:hint="eastAsia"/>
          <w:color w:val="333333"/>
          <w:kern w:val="0"/>
          <w:sz w:val="32"/>
          <w:szCs w:val="32"/>
        </w:rPr>
        <w:t>将严格按照上级有关部署安排，进一步做好政务公开各项工作。一是进一步强化教育与培训，积极参加和组织召开政务公开培训，提升业务能力和水平，确保政务公开工作高效运作。二是进一步梳理信息公开目录内容，根据实际情况及时调整完善信息公开目录和内容更新，积极提出合理化建议，确保政府公开信息“应公开</w:t>
      </w:r>
      <w:bookmarkStart w:id="0" w:name="_GoBack"/>
      <w:bookmarkEnd w:id="0"/>
      <w:r>
        <w:rPr>
          <w:rFonts w:ascii="Times New Roman" w:eastAsia="仿宋_GB2312" w:cs="Times New Roman" w:hAnsi="Times New Roman" w:hint="eastAsia"/>
          <w:color w:val="333333"/>
          <w:kern w:val="0"/>
          <w:sz w:val="32"/>
          <w:szCs w:val="32"/>
        </w:rPr>
        <w:t>、尽公开”。</w:t>
      </w:r>
      <w:r>
        <w:rPr>
          <w:rFonts w:ascii="Times New Roman" w:eastAsia="仿宋_GB2312" w:cs="Times New Roman" w:hAnsi="Times New Roman"/>
          <w:color w:val="333333"/>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Chars="200" w:firstLine="640"/>
        <w:textAlignment w:val="auto"/>
        <w:rPr>
          <w:rFonts w:ascii="Times New Roman" w:eastAsia="黑体" w:cs="Times New Roman" w:hAnsi="Times New Roman"/>
          <w:color w:val="333333"/>
          <w:kern w:val="0"/>
          <w:sz w:val="32"/>
          <w:szCs w:val="32"/>
        </w:rPr>
      </w:pPr>
      <w:r>
        <w:rPr>
          <w:rFonts w:ascii="Times New Roman" w:eastAsia="黑体" w:cs="Times New Roman" w:hAnsi="Times New Roman"/>
          <w:b/>
          <w:bCs/>
          <w:color w:val="333333"/>
          <w:kern w:val="0"/>
          <w:sz w:val="32"/>
          <w:szCs w:val="32"/>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Chars="200" w:firstLine="640"/>
        <w:textAlignment w:val="auto"/>
        <w:rPr>
          <w:rFonts w:ascii="Times New Roman" w:cs="Times New Roman" w:hAnsi="Times New Roman"/>
          <w:color w:val="333333"/>
          <w:kern w:val="0"/>
          <w:sz w:val="32"/>
          <w:szCs w:val="32"/>
        </w:rPr>
      </w:pPr>
      <w:r>
        <w:rPr>
          <w:rFonts w:ascii="Times New Roman" w:cs="Times New Roman" w:hAnsi="Times New Roman"/>
          <w:color w:val="333333"/>
          <w:kern w:val="0"/>
          <w:sz w:val="32"/>
          <w:szCs w:val="32"/>
        </w:rPr>
        <w:t>本单位无其他需要报告的事项</w:t>
      </w:r>
      <w:r>
        <w:rPr>
          <w:rFonts w:ascii="Times New Roman" w:cs="Times New Roman" w:hAnsi="Times New Roman"/>
          <w:color w:val="333333"/>
          <w:kern w:val="0"/>
          <w:sz w:val="32"/>
          <w:szCs w:val="32"/>
          <w:lang w:eastAsia="zh-CN"/>
        </w:rPr>
        <w:t>，</w:t>
      </w:r>
      <w:r>
        <w:rPr>
          <w:rFonts w:ascii="Times New Roman" w:cs="Times New Roman" w:hAnsi="Times New Roman"/>
          <w:color w:val="333333"/>
          <w:kern w:val="0"/>
          <w:sz w:val="32"/>
          <w:szCs w:val="32"/>
        </w:rPr>
        <w:t>无</w:t>
      </w:r>
      <w:r>
        <w:rPr>
          <w:rFonts w:ascii="Times New Roman" w:cs="Times New Roman" w:hAnsi="Times New Roman"/>
          <w:color w:val="333333"/>
          <w:kern w:val="0"/>
          <w:sz w:val="32"/>
          <w:szCs w:val="32"/>
          <w:lang w:eastAsia="zh-CN"/>
        </w:rPr>
        <w:t>收取信息处理费情况</w:t>
      </w:r>
      <w:r>
        <w:rPr>
          <w:rFonts w:ascii="Times New Roman" w:cs="Times New Roman" w:hAnsi="Times New Roman"/>
          <w:color w:val="333333"/>
          <w:kern w:val="0"/>
          <w:sz w:val="32"/>
          <w:szCs w:val="32"/>
        </w:rPr>
        <w:t>。</w:t>
      </w:r>
    </w:p>
    <w:p>
      <w:pPr>
        <w:rPr>
          <w:rFonts w:ascii="Times New Roman" w:cs="Times New Roman" w:hAnsi="Times New Roman"/>
        </w:rPr>
      </w:pP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3000509000000000000"/>
    <w:charset w:val="86"/>
    <w:family w:val="auto"/>
    <w:pitch w:val="variable"/>
    <w:sig w:usb0="00000001" w:usb1="080E0000" w:usb2="00000000" w:usb3="00000000" w:csb0="00040000" w:csb1="00000000"/>
  </w:font>
  <w:font w:name="Times New Roman">
    <w:panose1 w:val="02020603050405020304"/>
    <w:charset w:val="86"/>
    <w:family w:val="auto"/>
    <w:pitch w:val="variable"/>
    <w:sig w:usb0="E0002AFF" w:usb1="C0007841" w:usb2="00000009" w:usb3="00000000" w:csb0="400001FF" w:csb1="FFFF0000"/>
  </w:font>
  <w:font w:name="仿宋_GB2312">
    <w:panose1 w:val="02010609030101010101"/>
    <w:charset w:val="86"/>
    <w:family w:val="modern"/>
    <w:pitch w:val="variable"/>
    <w:sig w:usb0="00000001" w:usb1="080E0000" w:usb2="00000000" w:usb3="00000000" w:csb0="00040000" w:csb1="00000000"/>
  </w:font>
  <w:font w:name="黑体">
    <w:panose1 w:val="02010600030101010101"/>
    <w:charset w:val="86"/>
    <w:family w:val="auto"/>
    <w:pitch w:val="variable"/>
    <w:sig w:usb0="800002BF" w:usb1="38CF7CFA" w:usb2="00000016" w:usb3="00000000" w:csb0="00040001" w:csb1="00000000"/>
  </w:font>
  <w:font w:name="楷体">
    <w:panose1 w:val="02010609060101010101"/>
    <w:charset w:val="86"/>
    <w:family w:val="auto"/>
    <w:pitch w:val="variable"/>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val="0"/>
  <w:bordersDoNotSurroundFooter w:val="0"/>
  <w:documentProtection w:edit="readOnly" w:enforcement="0"/>
  <w:defaultTabStop w:val="420"/>
  <w:drawingGridHorizontalSpacing w:val="160"/>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Arial"/>
        <w:lang w:val="en-US" w:eastAsia="zh-CN" w:bidi="ar-SA"/>
      </w:rPr>
    </w:rPrDefault>
    <w:pPrDefault/>
  </w:docDefaults>
  <w:style w:type="paragraph" w:default="1" w:styleId="0">
    <w:name w:val="Normal"/>
    <w:pPr>
      <w:widowControl w:val="0"/>
      <w:jc w:val="both"/>
    </w:pPr>
    <w:rPr>
      <w:rFonts w:ascii="Times New Roman" w:eastAsia="仿宋_GB2312" w:cs="Times New Roman" w:hAnsi="Times New Roman"/>
      <w:kern w:val="2"/>
      <w:sz w:val="32"/>
      <w:szCs w:val="32"/>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szCs w:val="18"/>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character" w:styleId="17">
    <w:name w:val="Hyperlink"/>
    <w:basedOn w:val="10"/>
    <w:rPr>
      <w:color w:val="0000FF"/>
      <w:u w:val="single"/>
    </w:rPr>
  </w:style>
  <w:style w:type="paragraph" w:customStyle="1" w:styleId="18">
    <w:name w:val="Default"/>
    <w:pPr>
      <w:widowControl w:val="0"/>
      <w:autoSpaceDE w:val="0"/>
      <w:autoSpaceDN w:val="0"/>
      <w:adjustRightInd w:val="0"/>
    </w:pPr>
    <w:rPr>
      <w:rFonts w:ascii="黑体" w:eastAsia="黑体" w:cs="Times New Roman" w:hAnsi="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393B4A0B-93F7-4B10-858C-9D4BED464E1A}">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93</TotalTime>
  <Application>Yozo_Office27021597764231179</Application>
  <Pages>5</Pages>
  <Words>0</Words>
  <Characters>1918</Characters>
  <Lines>0</Lines>
  <Paragraphs>29</Paragraphs>
  <CharactersWithSpaces>2558</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edfaf</dc:creator>
  <cp:lastModifiedBy>Administrator</cp:lastModifiedBy>
  <cp:revision>3</cp:revision>
  <cp:lastPrinted>2021-02-07T03:40:00Z</cp:lastPrinted>
  <dcterms:created xsi:type="dcterms:W3CDTF">2019-12-26T07:14:00Z</dcterms:created>
  <dcterms:modified xsi:type="dcterms:W3CDTF">2023-01-03T04:24:33Z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2052-11.1.0.11365</vt:lpwstr>
  </property>
  <property fmtid="{D5CDD505-2E9C-101B-9397-08002B2CF9AE}" pid="3" name="ICV">
    <vt:lpwstr>08471AE7000241AC8B30AB06BE8566BC</vt:lpwstr>
  </property>
</Properties>
</file>