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highlight w:val="none"/>
        </w:rPr>
      </w:pPr>
      <w:r>
        <w:rPr>
          <w:rFonts w:hint="eastAsia" w:ascii="方正小标宋简体" w:hAnsi="方正小标宋简体" w:eastAsia="方正小标宋简体" w:cs="方正小标宋简体"/>
          <w:color w:val="000000"/>
          <w:kern w:val="0"/>
          <w:sz w:val="44"/>
          <w:szCs w:val="44"/>
          <w:highlight w:val="none"/>
        </w:rPr>
        <w:t>乐清市金融工作服务中心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4"/>
          <w:szCs w:val="44"/>
          <w:highlight w:val="none"/>
        </w:rPr>
      </w:pPr>
      <w:r>
        <w:rPr>
          <w:rFonts w:hint="eastAsia" w:ascii="方正小标宋简体" w:hAnsi="方正小标宋简体" w:eastAsia="方正小标宋简体" w:cs="方正小标宋简体"/>
          <w:color w:val="000000"/>
          <w:kern w:val="0"/>
          <w:sz w:val="44"/>
          <w:szCs w:val="44"/>
          <w:highlight w:val="none"/>
          <w:lang w:val="en-US" w:eastAsia="zh-CN"/>
        </w:rPr>
        <w:t>2021</w:t>
      </w:r>
      <w:r>
        <w:rPr>
          <w:rFonts w:hint="eastAsia" w:ascii="方正小标宋简体" w:hAnsi="方正小标宋简体" w:eastAsia="方正小标宋简体" w:cs="方正小标宋简体"/>
          <w:color w:val="000000"/>
          <w:kern w:val="0"/>
          <w:sz w:val="44"/>
          <w:szCs w:val="44"/>
          <w:highlight w:val="none"/>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cs="Times New Roman"/>
          <w:color w:val="333333"/>
          <w:kern w:val="0"/>
          <w:sz w:val="24"/>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根据《中华人民共和国政府信息公开条例》（国务院令第711号）、《浙江省政府信息公开暂行办法》规定和《国务院办公厅政府信息与政务公开办公室关于政府信息公开工作年度报告有关事项的通知》（国办公开办函〔2019〕60号）要求，编制本机关2021年度政府信息公开年度报告并向社会公布。本报告中所列数据统计期限为2021年1月1日至12月31日。本报告的电子版可在“中国·乐清”市政府门户网站（www.yueqing.gov.cn）下载。如对报告内容有疑问，请与乐清市金融工作服务中心综合科联系（地址：乐清市伯乐东路888号行政管理中心C409；邮编：325600；电话：0577-61880519；电子邮件：yqsjrb@126.com）。</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333333"/>
          <w:kern w:val="0"/>
          <w:sz w:val="32"/>
          <w:szCs w:val="32"/>
          <w:highlight w:val="none"/>
        </w:rPr>
      </w:pPr>
      <w:r>
        <w:rPr>
          <w:rFonts w:hint="default" w:ascii="Times New Roman" w:hAnsi="Times New Roman" w:eastAsia="黑体" w:cs="Times New Roman"/>
          <w:b w:val="0"/>
          <w:bCs w:val="0"/>
          <w:color w:val="333333"/>
          <w:kern w:val="0"/>
          <w:sz w:val="32"/>
          <w:szCs w:val="32"/>
          <w:highlight w:val="none"/>
        </w:rPr>
        <w:t>一、总体情况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202</w:t>
      </w:r>
      <w:r>
        <w:rPr>
          <w:rFonts w:hint="default" w:ascii="Times New Roman" w:hAnsi="Times New Roman" w:eastAsia="仿宋_GB2312" w:cs="Times New Roman"/>
          <w:color w:val="333333"/>
          <w:kern w:val="0"/>
          <w:sz w:val="32"/>
          <w:szCs w:val="32"/>
          <w:highlight w:val="none"/>
          <w:lang w:val="en-US" w:eastAsia="zh-CN"/>
        </w:rPr>
        <w:t>1</w:t>
      </w:r>
      <w:r>
        <w:rPr>
          <w:rFonts w:hint="default" w:ascii="Times New Roman" w:hAnsi="Times New Roman" w:eastAsia="仿宋_GB2312" w:cs="Times New Roman"/>
          <w:color w:val="333333"/>
          <w:kern w:val="0"/>
          <w:sz w:val="32"/>
          <w:szCs w:val="32"/>
          <w:highlight w:val="none"/>
        </w:rPr>
        <w:t>年，我</w:t>
      </w:r>
      <w:r>
        <w:rPr>
          <w:rFonts w:hint="default" w:ascii="Times New Roman" w:hAnsi="Times New Roman" w:eastAsia="仿宋_GB2312" w:cs="Times New Roman"/>
          <w:color w:val="333333"/>
          <w:kern w:val="0"/>
          <w:sz w:val="32"/>
          <w:szCs w:val="32"/>
          <w:highlight w:val="none"/>
          <w:lang w:eastAsia="zh-CN"/>
        </w:rPr>
        <w:t>中心</w:t>
      </w:r>
      <w:r>
        <w:rPr>
          <w:rFonts w:hint="default" w:ascii="Times New Roman" w:hAnsi="Times New Roman" w:eastAsia="仿宋_GB2312" w:cs="Times New Roman"/>
          <w:color w:val="333333"/>
          <w:kern w:val="0"/>
          <w:sz w:val="32"/>
          <w:szCs w:val="32"/>
          <w:highlight w:val="none"/>
        </w:rPr>
        <w:t>政务公开工作认真贯彻《中华人民共和国政府信息公开条例》，深入贯彻、学习、落实党的十</w:t>
      </w:r>
      <w:r>
        <w:rPr>
          <w:rFonts w:hint="default" w:ascii="Times New Roman" w:hAnsi="Times New Roman" w:eastAsia="仿宋_GB2312" w:cs="Times New Roman"/>
          <w:color w:val="333333"/>
          <w:kern w:val="0"/>
          <w:sz w:val="32"/>
          <w:szCs w:val="32"/>
          <w:highlight w:val="none"/>
          <w:lang w:eastAsia="zh-CN"/>
        </w:rPr>
        <w:t>九</w:t>
      </w:r>
      <w:r>
        <w:rPr>
          <w:rFonts w:hint="default" w:ascii="Times New Roman" w:hAnsi="Times New Roman" w:eastAsia="仿宋_GB2312" w:cs="Times New Roman"/>
          <w:color w:val="333333"/>
          <w:kern w:val="0"/>
          <w:sz w:val="32"/>
          <w:szCs w:val="32"/>
          <w:highlight w:val="none"/>
        </w:rPr>
        <w:t>大</w:t>
      </w:r>
      <w:r>
        <w:rPr>
          <w:rFonts w:hint="default" w:ascii="Times New Roman" w:hAnsi="Times New Roman" w:eastAsia="仿宋_GB2312" w:cs="Times New Roman"/>
          <w:color w:val="333333"/>
          <w:kern w:val="0"/>
          <w:sz w:val="32"/>
          <w:szCs w:val="32"/>
          <w:highlight w:val="none"/>
          <w:lang w:eastAsia="zh-CN"/>
        </w:rPr>
        <w:t>和十九届二中、</w:t>
      </w:r>
      <w:r>
        <w:rPr>
          <w:rFonts w:hint="default" w:ascii="Times New Roman" w:hAnsi="Times New Roman" w:eastAsia="仿宋_GB2312" w:cs="Times New Roman"/>
          <w:color w:val="333333"/>
          <w:kern w:val="0"/>
          <w:sz w:val="32"/>
          <w:szCs w:val="32"/>
          <w:highlight w:val="none"/>
        </w:rPr>
        <w:t>三中、四中、五中</w:t>
      </w:r>
      <w:r>
        <w:rPr>
          <w:rFonts w:hint="default" w:ascii="Times New Roman" w:hAnsi="Times New Roman" w:eastAsia="仿宋_GB2312" w:cs="Times New Roman"/>
          <w:color w:val="333333"/>
          <w:kern w:val="0"/>
          <w:sz w:val="32"/>
          <w:szCs w:val="32"/>
          <w:highlight w:val="none"/>
          <w:lang w:eastAsia="zh-CN"/>
        </w:rPr>
        <w:t>、六中</w:t>
      </w:r>
      <w:r>
        <w:rPr>
          <w:rFonts w:hint="default" w:ascii="Times New Roman" w:hAnsi="Times New Roman" w:eastAsia="仿宋_GB2312" w:cs="Times New Roman"/>
          <w:color w:val="333333"/>
          <w:kern w:val="0"/>
          <w:sz w:val="32"/>
          <w:szCs w:val="32"/>
          <w:highlight w:val="none"/>
        </w:rPr>
        <w:t>全会精神</w:t>
      </w:r>
      <w:r>
        <w:rPr>
          <w:rFonts w:hint="default" w:ascii="Times New Roman" w:hAnsi="Times New Roman" w:eastAsia="仿宋_GB2312" w:cs="Times New Roman"/>
          <w:color w:val="333333"/>
          <w:kern w:val="0"/>
          <w:sz w:val="32"/>
          <w:szCs w:val="32"/>
          <w:highlight w:val="none"/>
          <w:lang w:eastAsia="zh-CN"/>
        </w:rPr>
        <w:t>，严格</w:t>
      </w:r>
      <w:r>
        <w:rPr>
          <w:rFonts w:hint="default" w:ascii="Times New Roman" w:hAnsi="Times New Roman" w:eastAsia="仿宋_GB2312" w:cs="Times New Roman"/>
          <w:color w:val="333333"/>
          <w:kern w:val="0"/>
          <w:sz w:val="32"/>
          <w:szCs w:val="32"/>
          <w:highlight w:val="none"/>
        </w:rPr>
        <w:t>按照市委、市政府</w:t>
      </w:r>
      <w:r>
        <w:rPr>
          <w:rFonts w:hint="default" w:ascii="Times New Roman" w:hAnsi="Times New Roman" w:eastAsia="仿宋_GB2312" w:cs="Times New Roman"/>
          <w:color w:val="333333"/>
          <w:kern w:val="0"/>
          <w:sz w:val="32"/>
          <w:szCs w:val="32"/>
          <w:highlight w:val="none"/>
          <w:lang w:eastAsia="zh-CN"/>
        </w:rPr>
        <w:t>决策部署</w:t>
      </w:r>
      <w:r>
        <w:rPr>
          <w:rFonts w:hint="default" w:ascii="Times New Roman" w:hAnsi="Times New Roman" w:eastAsia="仿宋_GB2312" w:cs="Times New Roman"/>
          <w:color w:val="333333"/>
          <w:kern w:val="0"/>
          <w:sz w:val="32"/>
          <w:szCs w:val="32"/>
          <w:highlight w:val="none"/>
        </w:rPr>
        <w:t>，切实加强组织领导，建立健全工作机制，依法推进政府信息公开，</w:t>
      </w:r>
      <w:r>
        <w:rPr>
          <w:rFonts w:hint="default" w:ascii="Times New Roman" w:hAnsi="Times New Roman" w:eastAsia="仿宋_GB2312" w:cs="Times New Roman"/>
          <w:color w:val="333333"/>
          <w:kern w:val="0"/>
          <w:sz w:val="32"/>
          <w:szCs w:val="32"/>
          <w:highlight w:val="none"/>
          <w:lang w:eastAsia="zh-CN"/>
        </w:rPr>
        <w:t>取得了一定工作成效。</w:t>
      </w:r>
      <w:r>
        <w:rPr>
          <w:rFonts w:hint="default" w:ascii="Times New Roman" w:hAnsi="Times New Roman" w:eastAsia="仿宋_GB2312" w:cs="Times New Roman"/>
          <w:color w:val="333333"/>
          <w:kern w:val="0"/>
          <w:sz w:val="32"/>
          <w:szCs w:val="32"/>
          <w:highlight w:val="none"/>
        </w:rPr>
        <w:t>现将我</w:t>
      </w:r>
      <w:r>
        <w:rPr>
          <w:rFonts w:hint="eastAsia" w:cs="Times New Roman"/>
          <w:color w:val="333333"/>
          <w:kern w:val="0"/>
          <w:sz w:val="32"/>
          <w:szCs w:val="32"/>
          <w:highlight w:val="none"/>
          <w:lang w:eastAsia="zh-CN"/>
        </w:rPr>
        <w:t>中心</w:t>
      </w:r>
      <w:r>
        <w:rPr>
          <w:rFonts w:hint="default" w:ascii="Times New Roman" w:hAnsi="Times New Roman" w:eastAsia="仿宋_GB2312" w:cs="Times New Roman"/>
          <w:color w:val="333333"/>
          <w:kern w:val="0"/>
          <w:sz w:val="32"/>
          <w:szCs w:val="32"/>
          <w:highlight w:val="none"/>
        </w:rPr>
        <w:t>2021年度信息公开工作开展情况报告如下：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highlight w:val="none"/>
        </w:rPr>
      </w:pPr>
      <w:r>
        <w:rPr>
          <w:rFonts w:hint="eastAsia" w:ascii="楷体" w:hAnsi="楷体" w:eastAsia="楷体" w:cs="楷体"/>
          <w:color w:val="333333"/>
          <w:kern w:val="0"/>
          <w:sz w:val="32"/>
          <w:szCs w:val="32"/>
          <w:highlight w:val="none"/>
        </w:rPr>
        <w:t>（一）主动公开信息工作情况</w:t>
      </w:r>
    </w:p>
    <w:p>
      <w:pPr>
        <w:pStyle w:val="7"/>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结合</w:t>
      </w:r>
      <w:r>
        <w:rPr>
          <w:rFonts w:hint="eastAsia" w:ascii="仿宋_GB2312" w:hAnsi="仿宋_GB2312" w:eastAsia="仿宋_GB2312" w:cs="仿宋_GB2312"/>
          <w:color w:val="333333"/>
          <w:kern w:val="0"/>
          <w:sz w:val="32"/>
          <w:szCs w:val="32"/>
          <w:highlight w:val="none"/>
          <w:lang w:eastAsia="zh-CN"/>
        </w:rPr>
        <w:t>金融工作服务中心</w:t>
      </w:r>
      <w:r>
        <w:rPr>
          <w:rFonts w:hint="default" w:ascii="Times New Roman" w:hAnsi="Times New Roman" w:eastAsia="仿宋_GB2312" w:cs="Times New Roman"/>
          <w:color w:val="333333"/>
          <w:kern w:val="0"/>
          <w:sz w:val="32"/>
          <w:szCs w:val="32"/>
          <w:highlight w:val="none"/>
        </w:rPr>
        <w:t>工作的需要和特点，我</w:t>
      </w:r>
      <w:r>
        <w:rPr>
          <w:rFonts w:hint="eastAsia" w:ascii="仿宋_GB2312" w:hAnsi="仿宋_GB2312" w:eastAsia="仿宋_GB2312" w:cs="仿宋_GB2312"/>
          <w:color w:val="333333"/>
          <w:kern w:val="0"/>
          <w:sz w:val="32"/>
          <w:szCs w:val="32"/>
          <w:highlight w:val="none"/>
          <w:lang w:eastAsia="zh-CN"/>
        </w:rPr>
        <w:t>中心</w:t>
      </w:r>
      <w:r>
        <w:rPr>
          <w:rFonts w:hint="eastAsia" w:ascii="仿宋_GB2312" w:hAnsi="仿宋_GB2312" w:eastAsia="仿宋_GB2312" w:cs="仿宋_GB2312"/>
          <w:color w:val="333333"/>
          <w:kern w:val="0"/>
          <w:sz w:val="32"/>
          <w:szCs w:val="32"/>
          <w:highlight w:val="none"/>
        </w:rPr>
        <w:t>2021年度通过</w:t>
      </w:r>
      <w:r>
        <w:rPr>
          <w:rFonts w:hint="eastAsia" w:ascii="仿宋_GB2312" w:hAnsi="仿宋_GB2312" w:eastAsia="仿宋_GB2312" w:cs="仿宋_GB2312"/>
          <w:color w:val="333333"/>
          <w:kern w:val="0"/>
          <w:sz w:val="32"/>
          <w:szCs w:val="32"/>
          <w:highlight w:val="none"/>
          <w:lang w:eastAsia="zh-CN"/>
        </w:rPr>
        <w:t>乐清</w:t>
      </w:r>
      <w:r>
        <w:rPr>
          <w:rFonts w:hint="eastAsia" w:ascii="仿宋_GB2312" w:hAnsi="仿宋_GB2312" w:eastAsia="仿宋_GB2312" w:cs="仿宋_GB2312"/>
          <w:color w:val="333333"/>
          <w:kern w:val="0"/>
          <w:sz w:val="32"/>
          <w:szCs w:val="32"/>
          <w:highlight w:val="none"/>
        </w:rPr>
        <w:t>公务网门户网站主动、及时发布和更新政务信</w:t>
      </w:r>
      <w:r>
        <w:rPr>
          <w:rFonts w:hint="default" w:ascii="Times New Roman" w:hAnsi="Times New Roman" w:eastAsia="仿宋_GB2312" w:cs="Times New Roman"/>
          <w:color w:val="333333"/>
          <w:kern w:val="0"/>
          <w:sz w:val="32"/>
          <w:szCs w:val="32"/>
          <w:highlight w:val="none"/>
        </w:rPr>
        <w:t>息，</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共</w:t>
      </w:r>
      <w:r>
        <w:rPr>
          <w:rFonts w:hint="default" w:ascii="Times New Roman" w:hAnsi="Times New Roman" w:eastAsia="仿宋_GB2312" w:cs="Times New Roman"/>
          <w:sz w:val="32"/>
          <w:szCs w:val="32"/>
          <w:highlight w:val="none"/>
        </w:rPr>
        <w:t>主动公开政府信息</w:t>
      </w:r>
      <w:r>
        <w:rPr>
          <w:rFonts w:hint="eastAsia" w:ascii="Times New Roman" w:hAnsi="Times New Roman" w:eastAsia="仿宋_GB2312" w:cs="Times New Roman"/>
          <w:sz w:val="32"/>
          <w:szCs w:val="32"/>
          <w:highlight w:val="none"/>
          <w:lang w:val="en-US" w:eastAsia="zh-CN"/>
        </w:rPr>
        <w:t>38</w:t>
      </w:r>
      <w:r>
        <w:rPr>
          <w:rFonts w:hint="default" w:ascii="Times New Roman" w:hAnsi="Times New Roman" w:eastAsia="仿宋_GB2312" w:cs="Times New Roman"/>
          <w:sz w:val="32"/>
          <w:szCs w:val="32"/>
          <w:highlight w:val="none"/>
        </w:rPr>
        <w:t>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其中公文类政府信息</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条，非公文类政府信息</w:t>
      </w:r>
      <w:r>
        <w:rPr>
          <w:rFonts w:hint="eastAsia" w:ascii="Times New Roman" w:hAnsi="Times New Roman" w:eastAsia="仿宋_GB2312" w:cs="Times New Roman"/>
          <w:sz w:val="32"/>
          <w:szCs w:val="32"/>
          <w:highlight w:val="none"/>
          <w:lang w:val="en-US" w:eastAsia="zh-CN"/>
        </w:rPr>
        <w:t>34</w:t>
      </w:r>
      <w:r>
        <w:rPr>
          <w:rFonts w:hint="default" w:ascii="Times New Roman" w:hAnsi="Times New Roman" w:eastAsia="仿宋_GB2312" w:cs="Times New Roman"/>
          <w:sz w:val="32"/>
          <w:szCs w:val="32"/>
          <w:highlight w:val="none"/>
        </w:rPr>
        <w:t>条（包括重点领域信息公开数</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 xml:space="preserve">条）。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（二）依申请公开工作情况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2021年度未收到政府信息公开申请。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（三）政府信息管理工作情况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2021年全年，</w:t>
      </w:r>
      <w:r>
        <w:rPr>
          <w:rFonts w:hint="eastAsia" w:cs="Times New Roman"/>
          <w:color w:val="333333"/>
          <w:kern w:val="0"/>
          <w:sz w:val="32"/>
          <w:szCs w:val="32"/>
          <w:highlight w:val="none"/>
          <w:lang w:eastAsia="zh-CN"/>
        </w:rPr>
        <w:t>乐清市金融工作服务中心</w:t>
      </w:r>
      <w:r>
        <w:rPr>
          <w:rFonts w:hint="default" w:ascii="Times New Roman" w:hAnsi="Times New Roman" w:eastAsia="仿宋_GB2312" w:cs="Times New Roman"/>
          <w:color w:val="333333"/>
          <w:kern w:val="0"/>
          <w:sz w:val="32"/>
          <w:szCs w:val="32"/>
          <w:highlight w:val="none"/>
        </w:rPr>
        <w:t>严格按照上级要求，贯彻落实《条例》相关规定</w:t>
      </w:r>
      <w:r>
        <w:rPr>
          <w:rFonts w:hint="eastAsia" w:cs="Times New Roman"/>
          <w:color w:val="333333"/>
          <w:kern w:val="0"/>
          <w:sz w:val="32"/>
          <w:szCs w:val="32"/>
          <w:highlight w:val="none"/>
          <w:lang w:eastAsia="zh-CN"/>
        </w:rPr>
        <w:t>，</w:t>
      </w:r>
      <w:r>
        <w:rPr>
          <w:rFonts w:hint="default" w:ascii="Times New Roman" w:hAnsi="Times New Roman" w:eastAsia="仿宋_GB2312" w:cs="Times New Roman"/>
          <w:color w:val="333333"/>
          <w:kern w:val="0"/>
          <w:sz w:val="32"/>
          <w:szCs w:val="32"/>
          <w:highlight w:val="none"/>
        </w:rPr>
        <w:t>高度重视政府信息公开工作，加强领导</w:t>
      </w:r>
      <w:r>
        <w:rPr>
          <w:rFonts w:hint="eastAsia" w:cs="Times New Roman"/>
          <w:color w:val="333333"/>
          <w:kern w:val="0"/>
          <w:sz w:val="32"/>
          <w:szCs w:val="32"/>
          <w:highlight w:val="none"/>
          <w:lang w:eastAsia="zh-CN"/>
        </w:rPr>
        <w:t>、</w:t>
      </w:r>
      <w:r>
        <w:rPr>
          <w:rFonts w:hint="default" w:ascii="Times New Roman" w:hAnsi="Times New Roman" w:eastAsia="仿宋_GB2312" w:cs="Times New Roman"/>
          <w:color w:val="333333"/>
          <w:kern w:val="0"/>
          <w:sz w:val="32"/>
          <w:szCs w:val="32"/>
          <w:highlight w:val="none"/>
        </w:rPr>
        <w:t>扎实推进，及时公开本年度的政府信息，最大限度地保障公众的知情权和监督权。202</w:t>
      </w:r>
      <w:r>
        <w:rPr>
          <w:rFonts w:hint="eastAsia" w:cs="Times New Roman"/>
          <w:color w:val="333333"/>
          <w:kern w:val="0"/>
          <w:sz w:val="32"/>
          <w:szCs w:val="32"/>
          <w:highlight w:val="none"/>
          <w:lang w:val="en-US" w:eastAsia="zh-CN"/>
        </w:rPr>
        <w:t>1</w:t>
      </w:r>
      <w:r>
        <w:rPr>
          <w:rFonts w:hint="default" w:ascii="Times New Roman" w:hAnsi="Times New Roman" w:eastAsia="仿宋_GB2312" w:cs="Times New Roman"/>
          <w:color w:val="333333"/>
          <w:kern w:val="0"/>
          <w:sz w:val="32"/>
          <w:szCs w:val="32"/>
          <w:highlight w:val="none"/>
        </w:rPr>
        <w:t>年的政务信息公开工作经历了信息格式规范方面的完善以及公开页面的改变，</w:t>
      </w:r>
      <w:r>
        <w:rPr>
          <w:rFonts w:hint="eastAsia" w:cs="Times New Roman"/>
          <w:color w:val="333333"/>
          <w:kern w:val="0"/>
          <w:sz w:val="32"/>
          <w:szCs w:val="32"/>
          <w:highlight w:val="none"/>
          <w:lang w:eastAsia="zh-CN"/>
        </w:rPr>
        <w:t>乐清市金融工作服务中心</w:t>
      </w:r>
      <w:r>
        <w:rPr>
          <w:rFonts w:hint="default" w:ascii="Times New Roman" w:hAnsi="Times New Roman" w:eastAsia="仿宋_GB2312" w:cs="Times New Roman"/>
          <w:color w:val="333333"/>
          <w:kern w:val="0"/>
          <w:sz w:val="32"/>
          <w:szCs w:val="32"/>
          <w:highlight w:val="none"/>
        </w:rPr>
        <w:t>按照培训的内容，切实加强平台建设。深入推进重点领域信息公开，保障人民群众对政府工作的知情权与监督权。严格审查信息公开相关内容，做到群众信息保密。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（四）政务平台建设情况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2021年，我</w:t>
      </w:r>
      <w:r>
        <w:rPr>
          <w:rFonts w:hint="eastAsia" w:cs="Times New Roman"/>
          <w:color w:val="333333"/>
          <w:kern w:val="0"/>
          <w:sz w:val="32"/>
          <w:szCs w:val="32"/>
          <w:highlight w:val="none"/>
          <w:lang w:eastAsia="zh-CN"/>
        </w:rPr>
        <w:t>中心</w:t>
      </w:r>
      <w:r>
        <w:rPr>
          <w:rFonts w:hint="default" w:ascii="Times New Roman" w:hAnsi="Times New Roman" w:eastAsia="仿宋_GB2312" w:cs="Times New Roman"/>
          <w:color w:val="333333"/>
          <w:kern w:val="0"/>
          <w:sz w:val="32"/>
          <w:szCs w:val="32"/>
          <w:highlight w:val="none"/>
        </w:rPr>
        <w:t>严格按照上级要求，依托中国</w:t>
      </w:r>
      <w:r>
        <w:rPr>
          <w:rFonts w:hint="eastAsia" w:cs="Times New Roman"/>
          <w:color w:val="333333"/>
          <w:kern w:val="0"/>
          <w:sz w:val="32"/>
          <w:szCs w:val="32"/>
          <w:highlight w:val="none"/>
          <w:lang w:eastAsia="zh-CN"/>
        </w:rPr>
        <w:t>乐清</w:t>
      </w:r>
      <w:r>
        <w:rPr>
          <w:rFonts w:hint="default" w:ascii="Times New Roman" w:hAnsi="Times New Roman" w:eastAsia="仿宋_GB2312" w:cs="Times New Roman"/>
          <w:color w:val="333333"/>
          <w:kern w:val="0"/>
          <w:sz w:val="32"/>
          <w:szCs w:val="32"/>
          <w:highlight w:val="none"/>
        </w:rPr>
        <w:t>政务网的信息公开专栏进行全文电子化公开，及时做好政府信息公开目录更新、依申请公开及电话咨询等工作，方便人民群众进行咨询及问题投诉。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（五）监督保障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highlight w:val="none"/>
        </w:rPr>
      </w:pPr>
      <w:r>
        <w:rPr>
          <w:rFonts w:hint="default" w:ascii="Times New Roman" w:hAnsi="Times New Roman" w:eastAsia="仿宋_GB2312" w:cs="Times New Roman"/>
          <w:color w:val="333333"/>
          <w:kern w:val="0"/>
          <w:sz w:val="32"/>
          <w:szCs w:val="32"/>
          <w:highlight w:val="none"/>
        </w:rPr>
        <w:t>在上级信息公开工作管理部门的指导下，进一步健全完善</w:t>
      </w:r>
      <w:r>
        <w:rPr>
          <w:rFonts w:hint="eastAsia" w:cs="Times New Roman"/>
          <w:color w:val="333333"/>
          <w:kern w:val="0"/>
          <w:sz w:val="32"/>
          <w:szCs w:val="32"/>
          <w:highlight w:val="none"/>
          <w:lang w:eastAsia="zh-CN"/>
        </w:rPr>
        <w:t>乐清市金融工作服务中心</w:t>
      </w:r>
      <w:r>
        <w:rPr>
          <w:rFonts w:hint="default" w:ascii="Times New Roman" w:hAnsi="Times New Roman" w:eastAsia="仿宋_GB2312" w:cs="Times New Roman"/>
          <w:color w:val="333333"/>
          <w:kern w:val="0"/>
          <w:sz w:val="32"/>
          <w:szCs w:val="32"/>
          <w:highlight w:val="none"/>
        </w:rPr>
        <w:t>信息公开工作机制。</w:t>
      </w:r>
      <w:bookmarkStart w:id="0" w:name="_GoBack"/>
      <w:bookmarkEnd w:id="0"/>
      <w:r>
        <w:rPr>
          <w:rFonts w:hint="default" w:ascii="Times New Roman" w:hAnsi="Times New Roman" w:eastAsia="仿宋_GB2312" w:cs="Times New Roman"/>
          <w:color w:val="333333"/>
          <w:kern w:val="0"/>
          <w:sz w:val="32"/>
          <w:szCs w:val="32"/>
          <w:highlight w:val="none"/>
        </w:rPr>
        <w:t>切实加强公开前的审核把关，确保各项准备工作和措施落实到位。加强对信息公开工作的督查指导，研究解决工作中出现的新情况和新问题，促进信息公开工作有序、有效开展。</w:t>
      </w:r>
    </w:p>
    <w:p>
      <w:pPr>
        <w:keepNext w:val="0"/>
        <w:keepLines w:val="0"/>
        <w:pageBreakBefore w:val="0"/>
        <w:widowControl w:val="0"/>
        <w:shd w:val="clear" w:color="auto" w:fill="FFFFFF"/>
        <w:kinsoku/>
        <w:wordWrap/>
        <w:overflowPunct/>
        <w:topLinePunct w:val="0"/>
        <w:autoSpaceDE/>
        <w:autoSpaceDN/>
        <w:bidi w:val="0"/>
        <w:adjustRightInd/>
        <w:snapToGrid/>
        <w:spacing w:after="313" w:afterLines="100" w:line="500" w:lineRule="exact"/>
        <w:ind w:firstLine="640" w:firstLineChars="200"/>
        <w:textAlignment w:val="auto"/>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二、主动公开政府信息情况</w:t>
      </w:r>
    </w:p>
    <w:tbl>
      <w:tblPr>
        <w:tblStyle w:val="4"/>
        <w:tblW w:w="8625" w:type="dxa"/>
        <w:jc w:val="center"/>
        <w:tblLayout w:type="fixed"/>
        <w:tblCellMar>
          <w:top w:w="0" w:type="dxa"/>
          <w:left w:w="0" w:type="dxa"/>
          <w:bottom w:w="0" w:type="dxa"/>
          <w:right w:w="0" w:type="dxa"/>
        </w:tblCellMar>
      </w:tblPr>
      <w:tblGrid>
        <w:gridCol w:w="2641"/>
        <w:gridCol w:w="2347"/>
        <w:gridCol w:w="1658"/>
        <w:gridCol w:w="1979"/>
      </w:tblGrid>
      <w:tr>
        <w:tblPrEx>
          <w:tblCellMar>
            <w:top w:w="0" w:type="dxa"/>
            <w:left w:w="0" w:type="dxa"/>
            <w:bottom w:w="0" w:type="dxa"/>
            <w:right w:w="0" w:type="dxa"/>
          </w:tblCellMar>
        </w:tblPrEx>
        <w:trPr>
          <w:trHeight w:val="454" w:hRule="exact"/>
          <w:jc w:val="center"/>
        </w:trPr>
        <w:tc>
          <w:tcPr>
            <w:tcW w:w="8625"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第二十条第（一）项</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信息内容</w:t>
            </w:r>
          </w:p>
        </w:tc>
        <w:tc>
          <w:tcPr>
            <w:tcW w:w="23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cs="Times New Roman"/>
                <w:color w:val="000000"/>
                <w:kern w:val="0"/>
                <w:sz w:val="24"/>
                <w:szCs w:val="24"/>
              </w:rPr>
              <w:t>本年</w:t>
            </w:r>
            <w:r>
              <w:rPr>
                <w:rFonts w:hint="default" w:ascii="Times New Roman" w:hAnsi="Times New Roman" w:cs="Times New Roman"/>
                <w:color w:val="000000"/>
                <w:kern w:val="0"/>
                <w:sz w:val="24"/>
                <w:szCs w:val="24"/>
                <w:lang w:eastAsia="zh-CN"/>
              </w:rPr>
              <w:t>制发件数</w:t>
            </w:r>
          </w:p>
        </w:tc>
        <w:tc>
          <w:tcPr>
            <w:tcW w:w="16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cs="Times New Roman"/>
                <w:color w:val="000000"/>
                <w:kern w:val="0"/>
                <w:sz w:val="24"/>
                <w:szCs w:val="24"/>
              </w:rPr>
              <w:t>本年</w:t>
            </w:r>
            <w:r>
              <w:rPr>
                <w:rFonts w:hint="default" w:ascii="Times New Roman" w:hAnsi="Times New Roman" w:cs="Times New Roman"/>
                <w:color w:val="000000"/>
                <w:kern w:val="0"/>
                <w:sz w:val="24"/>
                <w:szCs w:val="24"/>
                <w:lang w:eastAsia="zh-CN"/>
              </w:rPr>
              <w:t>废止件数</w:t>
            </w:r>
          </w:p>
        </w:tc>
        <w:tc>
          <w:tcPr>
            <w:tcW w:w="19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cs="Times New Roman"/>
                <w:color w:val="000000"/>
                <w:kern w:val="0"/>
                <w:sz w:val="24"/>
                <w:szCs w:val="24"/>
                <w:lang w:eastAsia="zh-CN"/>
              </w:rPr>
              <w:t>现行有效件数</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规章</w:t>
            </w:r>
          </w:p>
        </w:tc>
        <w:tc>
          <w:tcPr>
            <w:tcW w:w="23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c>
          <w:tcPr>
            <w:tcW w:w="16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c>
          <w:tcPr>
            <w:tcW w:w="19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lang w:eastAsia="zh-CN"/>
              </w:rPr>
              <w:t>行政</w:t>
            </w:r>
            <w:r>
              <w:rPr>
                <w:rFonts w:hint="default" w:ascii="Times New Roman" w:hAnsi="Times New Roman" w:cs="Times New Roman"/>
                <w:color w:val="000000"/>
                <w:kern w:val="0"/>
                <w:sz w:val="24"/>
                <w:szCs w:val="24"/>
              </w:rPr>
              <w:t>规范性文件</w:t>
            </w:r>
          </w:p>
        </w:tc>
        <w:tc>
          <w:tcPr>
            <w:tcW w:w="234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c>
          <w:tcPr>
            <w:tcW w:w="16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c>
          <w:tcPr>
            <w:tcW w:w="197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r>
      <w:tr>
        <w:tblPrEx>
          <w:tblCellMar>
            <w:top w:w="0" w:type="dxa"/>
            <w:left w:w="0" w:type="dxa"/>
            <w:bottom w:w="0" w:type="dxa"/>
            <w:right w:w="0" w:type="dxa"/>
          </w:tblCellMar>
        </w:tblPrEx>
        <w:trPr>
          <w:trHeight w:val="454" w:hRule="exact"/>
          <w:jc w:val="center"/>
        </w:trPr>
        <w:tc>
          <w:tcPr>
            <w:tcW w:w="8625"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第二十条第（五）项</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信息内容</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cs="Times New Roman"/>
                <w:kern w:val="0"/>
                <w:sz w:val="24"/>
                <w:szCs w:val="24"/>
                <w:lang w:eastAsia="zh-CN"/>
              </w:rPr>
              <w:t>本年处理决定数量</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行政许可</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r>
      <w:tr>
        <w:tblPrEx>
          <w:tblCellMar>
            <w:top w:w="0" w:type="dxa"/>
            <w:left w:w="0" w:type="dxa"/>
            <w:bottom w:w="0" w:type="dxa"/>
            <w:right w:w="0" w:type="dxa"/>
          </w:tblCellMar>
        </w:tblPrEx>
        <w:trPr>
          <w:trHeight w:val="454" w:hRule="exact"/>
          <w:jc w:val="center"/>
        </w:trPr>
        <w:tc>
          <w:tcPr>
            <w:tcW w:w="8625"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第二十条第（六）项</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信息内容</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1920" w:firstLineChars="800"/>
              <w:jc w:val="both"/>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lang w:eastAsia="zh-CN"/>
              </w:rPr>
              <w:t>本年</w:t>
            </w:r>
            <w:r>
              <w:rPr>
                <w:rFonts w:hint="default" w:ascii="Times New Roman" w:hAnsi="Times New Roman" w:cs="Times New Roman"/>
                <w:color w:val="000000"/>
                <w:kern w:val="0"/>
                <w:sz w:val="24"/>
                <w:szCs w:val="24"/>
              </w:rPr>
              <w:t>处理决定数量</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行政处罚</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行政强制</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454" w:hRule="exact"/>
          <w:jc w:val="center"/>
        </w:trPr>
        <w:tc>
          <w:tcPr>
            <w:tcW w:w="8625" w:type="dxa"/>
            <w:gridSpan w:val="4"/>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第二十条第（八）项</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信息内容</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eastAsia="zh-CN"/>
              </w:rPr>
            </w:pPr>
            <w:r>
              <w:rPr>
                <w:rFonts w:hint="default" w:ascii="Times New Roman" w:hAnsi="Times New Roman" w:cs="Times New Roman"/>
                <w:color w:val="000000"/>
                <w:kern w:val="0"/>
                <w:sz w:val="24"/>
                <w:szCs w:val="24"/>
                <w:lang w:eastAsia="zh-CN"/>
              </w:rPr>
              <w:t>本年收费金额（单位：万元）</w:t>
            </w:r>
          </w:p>
        </w:tc>
      </w:tr>
      <w:tr>
        <w:tblPrEx>
          <w:tblCellMar>
            <w:top w:w="0" w:type="dxa"/>
            <w:left w:w="0" w:type="dxa"/>
            <w:bottom w:w="0" w:type="dxa"/>
            <w:right w:w="0" w:type="dxa"/>
          </w:tblCellMar>
        </w:tblPrEx>
        <w:trPr>
          <w:trHeight w:val="454" w:hRule="exact"/>
          <w:jc w:val="center"/>
        </w:trPr>
        <w:tc>
          <w:tcPr>
            <w:tcW w:w="264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行政事业性收费</w:t>
            </w:r>
          </w:p>
        </w:tc>
        <w:tc>
          <w:tcPr>
            <w:tcW w:w="598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r>
    </w:tbl>
    <w:p>
      <w:pPr>
        <w:keepNext w:val="0"/>
        <w:keepLines w:val="0"/>
        <w:pageBreakBefore w:val="0"/>
        <w:widowControl w:val="0"/>
        <w:tabs>
          <w:tab w:val="left" w:pos="764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三、收到和处理政府信息公开申请情况</w:t>
      </w:r>
    </w:p>
    <w:tbl>
      <w:tblPr>
        <w:tblStyle w:val="4"/>
        <w:tblpPr w:leftFromText="180" w:rightFromText="180" w:vertAnchor="text" w:horzAnchor="page" w:tblpX="1685" w:tblpY="660"/>
        <w:tblOverlap w:val="never"/>
        <w:tblW w:w="8579" w:type="dxa"/>
        <w:tblInd w:w="0" w:type="dxa"/>
        <w:tblLayout w:type="fixed"/>
        <w:tblCellMar>
          <w:top w:w="0" w:type="dxa"/>
          <w:left w:w="0" w:type="dxa"/>
          <w:bottom w:w="0" w:type="dxa"/>
          <w:right w:w="0" w:type="dxa"/>
        </w:tblCellMar>
      </w:tblPr>
      <w:tblGrid>
        <w:gridCol w:w="659"/>
        <w:gridCol w:w="885"/>
        <w:gridCol w:w="2593"/>
        <w:gridCol w:w="457"/>
        <w:gridCol w:w="737"/>
        <w:gridCol w:w="693"/>
        <w:gridCol w:w="781"/>
        <w:gridCol w:w="810"/>
        <w:gridCol w:w="483"/>
        <w:gridCol w:w="481"/>
      </w:tblGrid>
      <w:tr>
        <w:tblPrEx>
          <w:tblCellMar>
            <w:top w:w="0" w:type="dxa"/>
            <w:left w:w="0" w:type="dxa"/>
            <w:bottom w:w="0" w:type="dxa"/>
            <w:right w:w="0" w:type="dxa"/>
          </w:tblCellMar>
        </w:tblPrEx>
        <w:trPr>
          <w:trHeight w:val="324" w:hRule="atLeast"/>
        </w:trPr>
        <w:tc>
          <w:tcPr>
            <w:tcW w:w="4137"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（本列数据的勾稽关系为：第一项加第二项之和，等于第三项加第四项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之和）</w:t>
            </w:r>
          </w:p>
        </w:tc>
        <w:tc>
          <w:tcPr>
            <w:tcW w:w="444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申请人情况</w:t>
            </w:r>
          </w:p>
        </w:tc>
      </w:tr>
      <w:tr>
        <w:tblPrEx>
          <w:tblCellMar>
            <w:top w:w="0" w:type="dxa"/>
            <w:left w:w="0" w:type="dxa"/>
            <w:bottom w:w="0" w:type="dxa"/>
            <w:right w:w="0" w:type="dxa"/>
          </w:tblCellMar>
        </w:tblPrEx>
        <w:trPr>
          <w:trHeight w:val="324" w:hRule="atLeast"/>
        </w:trPr>
        <w:tc>
          <w:tcPr>
            <w:tcW w:w="413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457"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自然人</w:t>
            </w:r>
          </w:p>
        </w:tc>
        <w:tc>
          <w:tcPr>
            <w:tcW w:w="3504"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法人或其他组织</w:t>
            </w:r>
          </w:p>
        </w:tc>
        <w:tc>
          <w:tcPr>
            <w:tcW w:w="481" w:type="dxa"/>
            <w:vMerge w:val="restart"/>
            <w:tcBorders>
              <w:top w:val="single" w:color="auto" w:sz="8" w:space="0"/>
              <w:left w:val="nil"/>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总计</w:t>
            </w:r>
          </w:p>
        </w:tc>
      </w:tr>
      <w:tr>
        <w:tblPrEx>
          <w:tblCellMar>
            <w:top w:w="0" w:type="dxa"/>
            <w:left w:w="0" w:type="dxa"/>
            <w:bottom w:w="0" w:type="dxa"/>
            <w:right w:w="0" w:type="dxa"/>
          </w:tblCellMar>
        </w:tblPrEx>
        <w:trPr>
          <w:trHeight w:val="1177" w:hRule="atLeast"/>
        </w:trPr>
        <w:tc>
          <w:tcPr>
            <w:tcW w:w="413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457"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商业企业</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科研机构</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社会公益组织</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法律服务机构</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其他</w:t>
            </w:r>
          </w:p>
        </w:tc>
        <w:tc>
          <w:tcPr>
            <w:tcW w:w="481" w:type="dxa"/>
            <w:vMerge w:val="continue"/>
            <w:tcBorders>
              <w:left w:val="nil"/>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r>
      <w:tr>
        <w:tblPrEx>
          <w:tblCellMar>
            <w:top w:w="0" w:type="dxa"/>
            <w:left w:w="0" w:type="dxa"/>
            <w:bottom w:w="0" w:type="dxa"/>
            <w:right w:w="0" w:type="dxa"/>
          </w:tblCellMar>
        </w:tblPrEx>
        <w:trPr>
          <w:trHeight w:val="364" w:hRule="atLeast"/>
        </w:trPr>
        <w:tc>
          <w:tcPr>
            <w:tcW w:w="413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一、本年新收政府信息公开申请数量</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64" w:hRule="atLeast"/>
        </w:trPr>
        <w:tc>
          <w:tcPr>
            <w:tcW w:w="413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二、上年结转政府信息公开申请数量</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24" w:hRule="atLeast"/>
        </w:trPr>
        <w:tc>
          <w:tcPr>
            <w:tcW w:w="65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三、本年度办理结果</w:t>
            </w:r>
          </w:p>
        </w:tc>
        <w:tc>
          <w:tcPr>
            <w:tcW w:w="34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（一）予以公开</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715"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34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（二）部分公开（区分处理的，只计这一情形，不计其他情形）</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r>
              <w:rPr>
                <w:rFonts w:hint="default" w:ascii="Times New Roman" w:hAnsi="Times New Roman" w:cs="Times New Roman"/>
                <w:kern w:val="0"/>
                <w:sz w:val="24"/>
                <w:szCs w:val="24"/>
              </w:rPr>
              <w:t> </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rPr>
              <w:t> </w:t>
            </w: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64"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（三）不予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公开</w:t>
            </w: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1.属于国家秘密</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32"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2.其他法律行政法规禁止公开</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523"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spacing w:val="-4"/>
                <w:kern w:val="0"/>
                <w:sz w:val="24"/>
                <w:szCs w:val="24"/>
              </w:rPr>
            </w:pPr>
            <w:r>
              <w:rPr>
                <w:rFonts w:hint="default" w:ascii="Times New Roman" w:hAnsi="Times New Roman" w:cs="Times New Roman"/>
                <w:spacing w:val="-4"/>
                <w:kern w:val="0"/>
                <w:sz w:val="24"/>
                <w:szCs w:val="24"/>
              </w:rPr>
              <w:t>3.危及“三安全一稳定”</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486"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4.保护第三方合法权益</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07"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5.属于三类内部事务信息</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486"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6.属于四类过程性信息</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428"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7.属于行政执法案卷</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428"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8.属于行政查询事项</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83"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（四）无法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提供</w:t>
            </w: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1.本机关不掌握相关政府信息</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83"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2.没有现成信息需要另行制作</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07"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3.补正后申请内容仍不明确</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523"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（五）不予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处理</w:t>
            </w: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1.信访举报投诉类申请</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64"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2.重复申请</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523"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3.要求提供公开出版物</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607"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4.无正当理由大量反复申请</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842"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5.要求行政机关确认或重新出具已获取信息</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1319"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restart"/>
            <w:tcBorders>
              <w:top w:val="single" w:color="auto" w:sz="8" w:space="0"/>
              <w:left w:val="nil"/>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（六）其他处理</w:t>
            </w: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1.申请人无正当理由逾期不补正、行政机关不再处理其政府信息公开申请</w:t>
            </w:r>
          </w:p>
        </w:tc>
        <w:tc>
          <w:tcPr>
            <w:tcW w:w="45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1479"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rPr>
            </w:pPr>
          </w:p>
        </w:tc>
        <w:tc>
          <w:tcPr>
            <w:tcW w:w="885" w:type="dxa"/>
            <w:vMerge w:val="continue"/>
            <w:tcBorders>
              <w:left w:val="nil"/>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2.申请人逾期未按收费通知要求缴纳费用、行政机关不再处理其政府信息公开申请</w:t>
            </w:r>
          </w:p>
        </w:tc>
        <w:tc>
          <w:tcPr>
            <w:tcW w:w="45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24" w:hRule="atLeast"/>
        </w:trPr>
        <w:tc>
          <w:tcPr>
            <w:tcW w:w="659" w:type="dxa"/>
            <w:vMerge w:val="continue"/>
            <w:tcBorders>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885" w:type="dxa"/>
            <w:vMerge w:val="continue"/>
            <w:tcBorders>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2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3.其他</w:t>
            </w:r>
          </w:p>
        </w:tc>
        <w:tc>
          <w:tcPr>
            <w:tcW w:w="45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24" w:hRule="atLeast"/>
        </w:trPr>
        <w:tc>
          <w:tcPr>
            <w:tcW w:w="65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34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（七）总计</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r>
      <w:tr>
        <w:tblPrEx>
          <w:tblCellMar>
            <w:top w:w="0" w:type="dxa"/>
            <w:left w:w="0" w:type="dxa"/>
            <w:bottom w:w="0" w:type="dxa"/>
            <w:right w:w="0" w:type="dxa"/>
          </w:tblCellMar>
        </w:tblPrEx>
        <w:trPr>
          <w:trHeight w:val="361" w:hRule="atLeast"/>
        </w:trPr>
        <w:tc>
          <w:tcPr>
            <w:tcW w:w="4137"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四、结转下年度继续办理</w:t>
            </w:r>
          </w:p>
        </w:tc>
        <w:tc>
          <w:tcPr>
            <w:tcW w:w="45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7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81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4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4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bl>
    <w:p>
      <w:pPr>
        <w:widowControl/>
        <w:shd w:val="clear" w:color="auto" w:fill="FFFFFF"/>
        <w:spacing w:line="560" w:lineRule="exact"/>
        <w:rPr>
          <w:rFonts w:hint="default" w:ascii="Times New Roman" w:hAnsi="Times New Roman" w:eastAsia="黑体" w:cs="Times New Roman"/>
          <w:bCs/>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313" w:afterLines="100" w:line="560" w:lineRule="exact"/>
        <w:ind w:firstLine="640" w:firstLineChars="200"/>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四、政府信息公开行政复议、行政诉讼情况</w:t>
      </w:r>
    </w:p>
    <w:tbl>
      <w:tblPr>
        <w:tblStyle w:val="4"/>
        <w:tblW w:w="9071" w:type="dxa"/>
        <w:jc w:val="center"/>
        <w:tblLayout w:type="autofit"/>
        <w:tblCellMar>
          <w:top w:w="0" w:type="dxa"/>
          <w:left w:w="0" w:type="dxa"/>
          <w:bottom w:w="0" w:type="dxa"/>
          <w:right w:w="0" w:type="dxa"/>
        </w:tblCellMar>
      </w:tblPr>
      <w:tblGrid>
        <w:gridCol w:w="601"/>
        <w:gridCol w:w="601"/>
        <w:gridCol w:w="601"/>
        <w:gridCol w:w="601"/>
        <w:gridCol w:w="654"/>
        <w:gridCol w:w="576"/>
        <w:gridCol w:w="605"/>
        <w:gridCol w:w="605"/>
        <w:gridCol w:w="605"/>
        <w:gridCol w:w="605"/>
        <w:gridCol w:w="603"/>
        <w:gridCol w:w="603"/>
        <w:gridCol w:w="603"/>
        <w:gridCol w:w="604"/>
        <w:gridCol w:w="604"/>
      </w:tblGrid>
      <w:tr>
        <w:tblPrEx>
          <w:tblCellMar>
            <w:top w:w="0" w:type="dxa"/>
            <w:left w:w="0" w:type="dxa"/>
            <w:bottom w:w="0" w:type="dxa"/>
            <w:right w:w="0" w:type="dxa"/>
          </w:tblCellMar>
        </w:tblPrEx>
        <w:trPr>
          <w:jc w:val="center"/>
        </w:trPr>
        <w:tc>
          <w:tcPr>
            <w:tcW w:w="305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行政复议</w:t>
            </w:r>
          </w:p>
        </w:tc>
        <w:tc>
          <w:tcPr>
            <w:tcW w:w="6013"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行政诉讼</w:t>
            </w:r>
          </w:p>
        </w:tc>
      </w:tr>
      <w:tr>
        <w:tblPrEx>
          <w:tblCellMar>
            <w:top w:w="0" w:type="dxa"/>
            <w:left w:w="0" w:type="dxa"/>
            <w:bottom w:w="0" w:type="dxa"/>
            <w:right w:w="0" w:type="dxa"/>
          </w:tblCellMar>
        </w:tblPrEx>
        <w:trPr>
          <w:jc w:val="center"/>
        </w:trPr>
        <w:tc>
          <w:tcPr>
            <w:tcW w:w="60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结果维持</w:t>
            </w:r>
          </w:p>
        </w:tc>
        <w:tc>
          <w:tcPr>
            <w:tcW w:w="60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结果纠正</w:t>
            </w:r>
          </w:p>
        </w:tc>
        <w:tc>
          <w:tcPr>
            <w:tcW w:w="601"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其他结果</w:t>
            </w:r>
          </w:p>
        </w:tc>
        <w:tc>
          <w:tcPr>
            <w:tcW w:w="601"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尚未审结</w:t>
            </w:r>
          </w:p>
        </w:tc>
        <w:tc>
          <w:tcPr>
            <w:tcW w:w="65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总计</w:t>
            </w:r>
          </w:p>
        </w:tc>
        <w:tc>
          <w:tcPr>
            <w:tcW w:w="2996"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未经复议直接起诉</w:t>
            </w:r>
          </w:p>
        </w:tc>
        <w:tc>
          <w:tcPr>
            <w:tcW w:w="301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复议后起诉</w:t>
            </w:r>
          </w:p>
        </w:tc>
      </w:tr>
      <w:tr>
        <w:tblPrEx>
          <w:tblCellMar>
            <w:top w:w="0" w:type="dxa"/>
            <w:left w:w="0" w:type="dxa"/>
            <w:bottom w:w="0" w:type="dxa"/>
            <w:right w:w="0" w:type="dxa"/>
          </w:tblCellMar>
        </w:tblPrEx>
        <w:trPr>
          <w:trHeight w:val="10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kern w:val="0"/>
                <w:sz w:val="24"/>
                <w:szCs w:val="24"/>
              </w:rPr>
            </w:pPr>
          </w:p>
        </w:tc>
        <w:tc>
          <w:tcPr>
            <w:tcW w:w="5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总计</w:t>
            </w:r>
          </w:p>
        </w:tc>
        <w:tc>
          <w:tcPr>
            <w:tcW w:w="6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结果维持</w:t>
            </w:r>
          </w:p>
        </w:tc>
        <w:tc>
          <w:tcPr>
            <w:tcW w:w="6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结果纠正</w:t>
            </w:r>
          </w:p>
        </w:tc>
        <w:tc>
          <w:tcPr>
            <w:tcW w:w="6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其他结果</w:t>
            </w:r>
          </w:p>
        </w:tc>
        <w:tc>
          <w:tcPr>
            <w:tcW w:w="6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尚未审结</w:t>
            </w:r>
          </w:p>
        </w:tc>
        <w:tc>
          <w:tcPr>
            <w:tcW w:w="6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总计</w:t>
            </w:r>
          </w:p>
        </w:tc>
      </w:tr>
      <w:tr>
        <w:tblPrEx>
          <w:tblCellMar>
            <w:top w:w="0" w:type="dxa"/>
            <w:left w:w="0" w:type="dxa"/>
            <w:bottom w:w="0" w:type="dxa"/>
            <w:right w:w="0" w:type="dxa"/>
          </w:tblCellMar>
        </w:tblPrEx>
        <w:trPr>
          <w:trHeight w:val="1068" w:hRule="atLeast"/>
          <w:jc w:val="center"/>
        </w:trPr>
        <w:tc>
          <w:tcPr>
            <w:tcW w:w="60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5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lang w:val="en-US" w:eastAsia="zh-CN"/>
              </w:rPr>
              <w:t>0</w:t>
            </w:r>
          </w:p>
        </w:tc>
        <w:tc>
          <w:tcPr>
            <w:tcW w:w="6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0</w:t>
            </w:r>
          </w:p>
        </w:tc>
        <w:tc>
          <w:tcPr>
            <w:tcW w:w="6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color w:val="000000"/>
                <w:kern w:val="0"/>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cs="Times New Roman"/>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333333"/>
          <w:kern w:val="0"/>
          <w:sz w:val="32"/>
          <w:szCs w:val="32"/>
        </w:rPr>
      </w:pPr>
      <w:r>
        <w:rPr>
          <w:rFonts w:hint="default" w:ascii="Times New Roman" w:hAnsi="Times New Roman" w:eastAsia="黑体" w:cs="Times New Roman"/>
          <w:b w:val="0"/>
          <w:bCs w:val="0"/>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lang w:eastAsia="zh-CN"/>
        </w:rPr>
      </w:pPr>
      <w:r>
        <w:rPr>
          <w:rFonts w:hint="default" w:ascii="Times New Roman" w:hAnsi="Times New Roman" w:eastAsia="仿宋_GB2312" w:cs="Times New Roman"/>
          <w:color w:val="333333"/>
          <w:kern w:val="0"/>
          <w:sz w:val="32"/>
          <w:szCs w:val="32"/>
        </w:rPr>
        <w:t>202</w:t>
      </w:r>
      <w:r>
        <w:rPr>
          <w:rFonts w:hint="default" w:ascii="Times New Roman" w:hAnsi="Times New Roman" w:eastAsia="仿宋_GB2312" w:cs="Times New Roman"/>
          <w:color w:val="333333"/>
          <w:kern w:val="0"/>
          <w:sz w:val="32"/>
          <w:szCs w:val="32"/>
          <w:lang w:val="en-US" w:eastAsia="zh-CN"/>
        </w:rPr>
        <w:t>1</w:t>
      </w:r>
      <w:r>
        <w:rPr>
          <w:rFonts w:hint="default" w:ascii="Times New Roman" w:hAnsi="Times New Roman" w:eastAsia="仿宋_GB2312" w:cs="Times New Roman"/>
          <w:color w:val="333333"/>
          <w:kern w:val="0"/>
          <w:sz w:val="32"/>
          <w:szCs w:val="32"/>
        </w:rPr>
        <w:t>年我中心信息公开工作做到了制度化、规范化，但也存在一些问题，主要表现在</w:t>
      </w:r>
      <w:r>
        <w:rPr>
          <w:rFonts w:hint="default" w:ascii="Times New Roman" w:hAnsi="Times New Roman" w:eastAsia="仿宋_GB2312" w:cs="Times New Roman"/>
          <w:color w:val="333333"/>
          <w:kern w:val="0"/>
          <w:sz w:val="32"/>
          <w:szCs w:val="32"/>
          <w:lang w:eastAsia="zh-CN"/>
        </w:rPr>
        <w:t>“重点领域”信息报送的内容还不够丰富</w:t>
      </w:r>
      <w:r>
        <w:rPr>
          <w:rFonts w:hint="default" w:ascii="Times New Roman" w:hAnsi="Times New Roman" w:eastAsia="仿宋_GB2312" w:cs="Times New Roman"/>
          <w:color w:val="333333"/>
          <w:kern w:val="0"/>
          <w:sz w:val="32"/>
          <w:szCs w:val="32"/>
        </w:rPr>
        <w:t>，政务公开</w:t>
      </w:r>
      <w:r>
        <w:rPr>
          <w:rFonts w:hint="default" w:ascii="Times New Roman" w:hAnsi="Times New Roman" w:eastAsia="仿宋_GB2312" w:cs="Times New Roman"/>
          <w:color w:val="333333"/>
          <w:kern w:val="0"/>
          <w:sz w:val="32"/>
          <w:szCs w:val="32"/>
          <w:lang w:eastAsia="zh-CN"/>
        </w:rPr>
        <w:t>和《条例》的</w:t>
      </w:r>
      <w:r>
        <w:rPr>
          <w:rFonts w:hint="default" w:ascii="Times New Roman" w:hAnsi="Times New Roman" w:eastAsia="仿宋_GB2312" w:cs="Times New Roman"/>
          <w:color w:val="333333"/>
          <w:kern w:val="0"/>
          <w:sz w:val="32"/>
          <w:szCs w:val="32"/>
        </w:rPr>
        <w:t>宣传</w:t>
      </w:r>
      <w:r>
        <w:rPr>
          <w:rFonts w:hint="default" w:ascii="Times New Roman" w:hAnsi="Times New Roman" w:eastAsia="仿宋_GB2312" w:cs="Times New Roman"/>
          <w:color w:val="333333"/>
          <w:kern w:val="0"/>
          <w:sz w:val="32"/>
          <w:szCs w:val="32"/>
          <w:lang w:eastAsia="zh-CN"/>
        </w:rPr>
        <w:t>教育频次和深度还有待进一步提高。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333333"/>
          <w:kern w:val="0"/>
          <w:sz w:val="32"/>
          <w:szCs w:val="32"/>
          <w:lang w:eastAsia="zh-CN"/>
        </w:rPr>
      </w:pPr>
      <w:r>
        <w:rPr>
          <w:rFonts w:hint="default" w:ascii="Times New Roman" w:hAnsi="Times New Roman" w:eastAsia="仿宋_GB2312" w:cs="Times New Roman"/>
          <w:color w:val="333333"/>
          <w:kern w:val="0"/>
          <w:sz w:val="32"/>
          <w:szCs w:val="32"/>
        </w:rPr>
        <w:t>下一步，我们将</w:t>
      </w:r>
      <w:r>
        <w:rPr>
          <w:rFonts w:hint="default" w:ascii="Times New Roman" w:hAnsi="Times New Roman" w:eastAsia="仿宋_GB2312" w:cs="Times New Roman"/>
          <w:color w:val="333333"/>
          <w:kern w:val="0"/>
          <w:sz w:val="32"/>
          <w:szCs w:val="32"/>
          <w:lang w:eastAsia="zh-CN"/>
        </w:rPr>
        <w:t>坚持以习近平新时代中国特色社会主义思想为指导，以人民为中心深化政务公开，以系统观念谋划实施政务公开，不断提升班子成员和机关工作人员的政务公开理念、能力和水平，不断夯实政务公开标准化、规范化基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333333"/>
          <w:kern w:val="0"/>
          <w:sz w:val="32"/>
          <w:szCs w:val="32"/>
        </w:rPr>
      </w:pPr>
      <w:r>
        <w:rPr>
          <w:rFonts w:hint="default" w:ascii="Times New Roman" w:hAnsi="Times New Roman" w:cs="Times New Roman"/>
          <w:color w:val="333333"/>
          <w:kern w:val="0"/>
          <w:sz w:val="32"/>
          <w:szCs w:val="32"/>
        </w:rPr>
        <w:t>本单位无其他需要报告的事项</w:t>
      </w:r>
      <w:r>
        <w:rPr>
          <w:rFonts w:hint="default" w:ascii="Times New Roman" w:hAnsi="Times New Roman" w:cs="Times New Roman"/>
          <w:color w:val="333333"/>
          <w:kern w:val="0"/>
          <w:sz w:val="32"/>
          <w:szCs w:val="32"/>
          <w:lang w:eastAsia="zh-CN"/>
        </w:rPr>
        <w:t>，</w:t>
      </w:r>
      <w:r>
        <w:rPr>
          <w:rFonts w:hint="default" w:ascii="Times New Roman" w:hAnsi="Times New Roman" w:cs="Times New Roman"/>
          <w:color w:val="333333"/>
          <w:kern w:val="0"/>
          <w:sz w:val="32"/>
          <w:szCs w:val="32"/>
        </w:rPr>
        <w:t>无</w:t>
      </w:r>
      <w:r>
        <w:rPr>
          <w:rFonts w:hint="default" w:ascii="Times New Roman" w:hAnsi="Times New Roman" w:cs="Times New Roman"/>
          <w:color w:val="333333"/>
          <w:kern w:val="0"/>
          <w:sz w:val="32"/>
          <w:szCs w:val="32"/>
          <w:lang w:eastAsia="zh-CN"/>
        </w:rPr>
        <w:t>收取信息处理费情况</w:t>
      </w:r>
      <w:r>
        <w:rPr>
          <w:rFonts w:hint="default" w:ascii="Times New Roman" w:hAnsi="Times New Roman" w:cs="Times New Roman"/>
          <w:color w:val="333333"/>
          <w:kern w:val="0"/>
          <w:sz w:val="32"/>
          <w:szCs w:val="32"/>
        </w:rPr>
        <w:t>。</w:t>
      </w:r>
    </w:p>
    <w:p>
      <w:pPr>
        <w:rPr>
          <w:rFonts w:hint="default" w:ascii="Times New Roman" w:hAnsi="Times New Roman" w:cs="Times New Roma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C3799"/>
    <w:rsid w:val="0001463B"/>
    <w:rsid w:val="002E4DAC"/>
    <w:rsid w:val="00397E5B"/>
    <w:rsid w:val="003B1CBB"/>
    <w:rsid w:val="00597369"/>
    <w:rsid w:val="00897D04"/>
    <w:rsid w:val="009B2A3C"/>
    <w:rsid w:val="009E0B05"/>
    <w:rsid w:val="00C24BC5"/>
    <w:rsid w:val="00C24DBF"/>
    <w:rsid w:val="00DE6FCD"/>
    <w:rsid w:val="00FC3799"/>
    <w:rsid w:val="0D9E55F7"/>
    <w:rsid w:val="14323063"/>
    <w:rsid w:val="15BC08ED"/>
    <w:rsid w:val="1D732E0B"/>
    <w:rsid w:val="1DD04F3F"/>
    <w:rsid w:val="1F502B79"/>
    <w:rsid w:val="1FA94470"/>
    <w:rsid w:val="22D80315"/>
    <w:rsid w:val="2A9071FF"/>
    <w:rsid w:val="35381655"/>
    <w:rsid w:val="3D22018A"/>
    <w:rsid w:val="3DEE58BD"/>
    <w:rsid w:val="4944594C"/>
    <w:rsid w:val="4FB92BB3"/>
    <w:rsid w:val="57F10DDA"/>
    <w:rsid w:val="60B644A7"/>
    <w:rsid w:val="61C11B59"/>
    <w:rsid w:val="62874BDF"/>
    <w:rsid w:val="6BA92E11"/>
    <w:rsid w:val="78063B12"/>
    <w:rsid w:val="79074111"/>
    <w:rsid w:val="7C2D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customStyle="1" w:styleId="7">
    <w:name w:val="Default"/>
    <w:qFormat/>
    <w:uiPriority w:val="0"/>
    <w:pPr>
      <w:widowControl w:val="0"/>
      <w:autoSpaceDE w:val="0"/>
      <w:autoSpaceDN w:val="0"/>
      <w:adjustRightInd w:val="0"/>
    </w:pPr>
    <w:rPr>
      <w:rFonts w:ascii="黑体" w:hAnsi="Times New Roman" w:eastAsia="黑体" w:cs="Times New Roman"/>
      <w:color w:val="000000"/>
      <w:kern w:val="0"/>
      <w:sz w:val="24"/>
      <w:szCs w:val="24"/>
      <w:lang w:val="en-US" w:eastAsia="zh-CN" w:bidi="ar-SA"/>
    </w:rPr>
  </w:style>
  <w:style w:type="character" w:customStyle="1" w:styleId="8">
    <w:name w:val="页眉 Char"/>
    <w:basedOn w:val="5"/>
    <w:link w:val="3"/>
    <w:semiHidden/>
    <w:qFormat/>
    <w:uiPriority w:val="99"/>
    <w:rPr>
      <w:rFonts w:ascii="Times New Roman" w:hAnsi="Times New Roman" w:eastAsia="仿宋_GB2312" w:cs="Times New Roman"/>
      <w:sz w:val="18"/>
      <w:szCs w:val="18"/>
    </w:rPr>
  </w:style>
  <w:style w:type="character" w:customStyle="1" w:styleId="9">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315</Words>
  <Characters>1798</Characters>
  <Lines>14</Lines>
  <Paragraphs>4</Paragraphs>
  <TotalTime>5</TotalTime>
  <ScaleCrop>false</ScaleCrop>
  <LinksUpToDate>false</LinksUpToDate>
  <CharactersWithSpaces>2109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2019-12-26T07:14:00Z</dcterms:created>
  <dc:creator>edfaf</dc:creator>
  <cp:lastModifiedBy>Administrator</cp:lastModifiedBy>
  <cp:lastPrinted>2021-02-07T03:40:00Z</cp:lastPrinted>
  <dcterms:modified xsi:type="dcterms:W3CDTF">2022-03-29T07:11:51Z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08471AE7000241AC8B30AB06BE8566BC</vt:lpwstr>
  </property>
</Properties>
</file>