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32"/>
          <w:szCs w:val="32"/>
          <w:lang w:val="en-US" w:eastAsia="zh-CN"/>
        </w:rPr>
      </w:pPr>
      <w:bookmarkStart w:id="0" w:name="OLE_LINK11"/>
      <w:r>
        <w:rPr>
          <w:rFonts w:hint="default" w:ascii="Times New Roman" w:hAnsi="Times New Roman" w:eastAsia="黑体" w:cs="Times New Roman"/>
          <w:b/>
          <w:bCs/>
          <w:sz w:val="44"/>
          <w:szCs w:val="44"/>
          <w:lang w:eastAsia="zh-CN"/>
        </w:rPr>
        <w:t>关于《</w:t>
      </w:r>
      <w:bookmarkStart w:id="1" w:name="OLE_LINK1"/>
      <w:r>
        <w:rPr>
          <w:rFonts w:hint="default" w:ascii="Times New Roman" w:hAnsi="Times New Roman" w:eastAsia="黑体" w:cs="Times New Roman"/>
          <w:b/>
          <w:bCs/>
          <w:sz w:val="44"/>
          <w:szCs w:val="44"/>
          <w:lang w:eastAsia="zh-CN"/>
        </w:rPr>
        <w:t>乐清市医疗卫生服务体系暨医疗机构设置</w:t>
      </w:r>
      <w:r>
        <w:rPr>
          <w:rFonts w:hint="eastAsia" w:ascii="Times New Roman" w:hAnsi="Times New Roman" w:eastAsia="黑体" w:cs="Times New Roman"/>
          <w:b/>
          <w:bCs/>
          <w:sz w:val="44"/>
          <w:szCs w:val="44"/>
          <w:lang w:eastAsia="zh-CN"/>
        </w:rPr>
        <w:t>“十四五”</w:t>
      </w:r>
      <w:r>
        <w:rPr>
          <w:rFonts w:hint="default" w:ascii="Times New Roman" w:hAnsi="Times New Roman" w:eastAsia="黑体" w:cs="Times New Roman"/>
          <w:b/>
          <w:bCs/>
          <w:sz w:val="44"/>
          <w:szCs w:val="44"/>
          <w:lang w:eastAsia="zh-CN"/>
        </w:rPr>
        <w:t>规划</w:t>
      </w:r>
      <w:bookmarkEnd w:id="1"/>
      <w:r>
        <w:rPr>
          <w:rFonts w:hint="default" w:ascii="Times New Roman" w:hAnsi="Times New Roman" w:eastAsia="黑体" w:cs="Times New Roman"/>
          <w:b/>
          <w:bCs/>
          <w:sz w:val="44"/>
          <w:szCs w:val="44"/>
          <w:lang w:eastAsia="zh-CN"/>
        </w:rPr>
        <w:t>》的起草说明</w:t>
      </w:r>
      <w:bookmarkEnd w:id="0"/>
    </w:p>
    <w:p>
      <w:pPr>
        <w:jc w:val="center"/>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乐清</w:t>
      </w:r>
      <w:r>
        <w:rPr>
          <w:rFonts w:hint="default" w:ascii="Times New Roman" w:hAnsi="Times New Roman" w:eastAsia="黑体" w:cs="Times New Roman"/>
          <w:sz w:val="32"/>
          <w:szCs w:val="32"/>
        </w:rPr>
        <w:t>市卫生健康</w:t>
      </w:r>
      <w:r>
        <w:rPr>
          <w:rFonts w:hint="eastAsia" w:ascii="Times New Roman" w:hAnsi="Times New Roman" w:eastAsia="黑体" w:cs="Times New Roman"/>
          <w:sz w:val="32"/>
          <w:szCs w:val="32"/>
          <w:lang w:eastAsia="zh-CN"/>
        </w:rPr>
        <w:t>局</w:t>
      </w:r>
    </w:p>
    <w:p>
      <w:pPr>
        <w:pStyle w:val="3"/>
        <w:bidi w:val="0"/>
        <w:rPr>
          <w:rFonts w:hint="eastAsia"/>
          <w:b w:val="0"/>
          <w:bCs/>
        </w:rPr>
      </w:pPr>
      <w:r>
        <w:rPr>
          <w:rFonts w:hint="default"/>
          <w:b w:val="0"/>
          <w:bCs/>
        </w:rPr>
        <w:t>起草背景</w:t>
      </w:r>
      <w:r>
        <w:rPr>
          <w:rFonts w:hint="eastAsia"/>
          <w:b w:val="0"/>
          <w:bCs/>
          <w:lang w:val="en-US" w:eastAsia="zh-CN"/>
        </w:rPr>
        <w:t>与过程</w:t>
      </w:r>
    </w:p>
    <w:p>
      <w:pPr>
        <w:widowControl/>
        <w:shd w:val="clear" w:color="auto" w:fill="FFFFFF"/>
        <w:spacing w:line="560" w:lineRule="exact"/>
        <w:ind w:firstLine="692"/>
        <w:rPr>
          <w:rFonts w:hint="default" w:ascii="仿宋_GB2312" w:hAnsi="仿宋" w:eastAsia="仿宋_GB2312" w:cs="Times New Roman"/>
          <w:color w:val="000000"/>
          <w:kern w:val="0"/>
          <w:sz w:val="32"/>
          <w:szCs w:val="32"/>
          <w:shd w:val="clear" w:color="auto" w:fill="FFFFFF"/>
          <w:lang w:eastAsia="zh-CN"/>
        </w:rPr>
      </w:pPr>
      <w:r>
        <w:rPr>
          <w:rFonts w:hint="default" w:ascii="仿宋_GB2312" w:hAnsi="仿宋" w:eastAsia="仿宋_GB2312" w:cs="Times New Roman"/>
          <w:color w:val="000000"/>
          <w:kern w:val="0"/>
          <w:sz w:val="32"/>
          <w:szCs w:val="32"/>
          <w:shd w:val="clear" w:color="auto" w:fill="FFFFFF"/>
          <w:lang w:eastAsia="zh-CN"/>
        </w:rPr>
        <w:t>根据我市规划编制有关文件要求，我局2020年7月启动《乐清市医疗卫生服务体系暨医疗机构设置</w:t>
      </w:r>
      <w:r>
        <w:rPr>
          <w:rFonts w:hint="eastAsia" w:ascii="仿宋_GB2312" w:hAnsi="仿宋" w:eastAsia="仿宋_GB2312" w:cs="Times New Roman"/>
          <w:color w:val="000000"/>
          <w:kern w:val="0"/>
          <w:sz w:val="32"/>
          <w:szCs w:val="32"/>
          <w:shd w:val="clear" w:color="auto" w:fill="FFFFFF"/>
          <w:lang w:eastAsia="zh-CN"/>
        </w:rPr>
        <w:t>“十四五”</w:t>
      </w:r>
      <w:r>
        <w:rPr>
          <w:rFonts w:hint="default" w:ascii="仿宋_GB2312" w:hAnsi="仿宋" w:eastAsia="仿宋_GB2312" w:cs="Times New Roman"/>
          <w:color w:val="000000"/>
          <w:kern w:val="0"/>
          <w:sz w:val="32"/>
          <w:szCs w:val="32"/>
          <w:shd w:val="clear" w:color="auto" w:fill="FFFFFF"/>
          <w:lang w:eastAsia="zh-CN"/>
        </w:rPr>
        <w:t>规划》（以下简称</w:t>
      </w:r>
      <w:r>
        <w:rPr>
          <w:rFonts w:hint="eastAsia" w:ascii="仿宋_GB2312" w:hAnsi="仿宋" w:eastAsia="仿宋_GB2312" w:cs="Times New Roman"/>
          <w:color w:val="000000"/>
          <w:kern w:val="0"/>
          <w:sz w:val="32"/>
          <w:szCs w:val="32"/>
          <w:shd w:val="clear" w:color="auto" w:fill="FFFFFF"/>
          <w:lang w:eastAsia="zh-CN"/>
        </w:rPr>
        <w:t>《</w:t>
      </w:r>
      <w:r>
        <w:rPr>
          <w:rFonts w:hint="default" w:ascii="仿宋_GB2312" w:hAnsi="仿宋" w:eastAsia="仿宋_GB2312" w:cs="Times New Roman"/>
          <w:color w:val="000000"/>
          <w:kern w:val="0"/>
          <w:sz w:val="32"/>
          <w:szCs w:val="32"/>
          <w:shd w:val="clear" w:color="auto" w:fill="FFFFFF"/>
          <w:lang w:eastAsia="zh-CN"/>
        </w:rPr>
        <w:t>十四五规划</w:t>
      </w:r>
      <w:r>
        <w:rPr>
          <w:rFonts w:hint="eastAsia" w:ascii="仿宋_GB2312" w:hAnsi="仿宋" w:eastAsia="仿宋_GB2312" w:cs="Times New Roman"/>
          <w:color w:val="000000"/>
          <w:kern w:val="0"/>
          <w:sz w:val="32"/>
          <w:szCs w:val="32"/>
          <w:shd w:val="clear" w:color="auto" w:fill="FFFFFF"/>
          <w:lang w:eastAsia="zh-CN"/>
        </w:rPr>
        <w:t>》</w:t>
      </w:r>
      <w:r>
        <w:rPr>
          <w:rFonts w:hint="default" w:ascii="仿宋_GB2312" w:hAnsi="仿宋" w:eastAsia="仿宋_GB2312" w:cs="Times New Roman"/>
          <w:color w:val="000000"/>
          <w:kern w:val="0"/>
          <w:sz w:val="32"/>
          <w:szCs w:val="32"/>
          <w:shd w:val="clear" w:color="auto" w:fill="FFFFFF"/>
          <w:lang w:eastAsia="zh-CN"/>
        </w:rPr>
        <w:t>）编写工作，印发编制工作方案，成立了由</w:t>
      </w:r>
      <w:r>
        <w:rPr>
          <w:rFonts w:hint="eastAsia" w:ascii="仿宋_GB2312" w:hAnsi="仿宋" w:eastAsia="仿宋_GB2312" w:cs="Times New Roman"/>
          <w:color w:val="000000"/>
          <w:kern w:val="0"/>
          <w:sz w:val="32"/>
          <w:szCs w:val="32"/>
          <w:shd w:val="clear" w:color="auto" w:fill="FFFFFF"/>
          <w:lang w:val="en-US" w:eastAsia="zh-CN"/>
        </w:rPr>
        <w:t>温州医科大学</w:t>
      </w:r>
      <w:r>
        <w:rPr>
          <w:rFonts w:hint="default" w:ascii="仿宋_GB2312" w:hAnsi="仿宋" w:eastAsia="仿宋_GB2312" w:cs="Times New Roman"/>
          <w:color w:val="000000"/>
          <w:kern w:val="0"/>
          <w:sz w:val="32"/>
          <w:szCs w:val="32"/>
          <w:shd w:val="clear" w:color="auto" w:fill="FFFFFF"/>
          <w:lang w:eastAsia="zh-CN"/>
        </w:rPr>
        <w:t>公共卫生管理学院和乐清市卫生健康局组成的</w:t>
      </w:r>
      <w:r>
        <w:rPr>
          <w:rFonts w:hint="eastAsia" w:ascii="仿宋_GB2312" w:hAnsi="仿宋" w:eastAsia="仿宋_GB2312" w:cs="Times New Roman"/>
          <w:color w:val="000000"/>
          <w:kern w:val="0"/>
          <w:sz w:val="32"/>
          <w:szCs w:val="32"/>
          <w:shd w:val="clear" w:color="auto" w:fill="FFFFFF"/>
          <w:lang w:eastAsia="zh-CN"/>
        </w:rPr>
        <w:t>《</w:t>
      </w:r>
      <w:r>
        <w:rPr>
          <w:rFonts w:hint="default" w:ascii="仿宋_GB2312" w:hAnsi="仿宋" w:eastAsia="仿宋_GB2312" w:cs="Times New Roman"/>
          <w:color w:val="000000"/>
          <w:kern w:val="0"/>
          <w:sz w:val="32"/>
          <w:szCs w:val="32"/>
          <w:shd w:val="clear" w:color="auto" w:fill="FFFFFF"/>
          <w:lang w:eastAsia="zh-CN"/>
        </w:rPr>
        <w:t>十四五规划</w:t>
      </w:r>
      <w:r>
        <w:rPr>
          <w:rFonts w:hint="eastAsia" w:ascii="仿宋_GB2312" w:hAnsi="仿宋" w:eastAsia="仿宋_GB2312" w:cs="Times New Roman"/>
          <w:color w:val="000000"/>
          <w:kern w:val="0"/>
          <w:sz w:val="32"/>
          <w:szCs w:val="32"/>
          <w:shd w:val="clear" w:color="auto" w:fill="FFFFFF"/>
          <w:lang w:eastAsia="zh-CN"/>
        </w:rPr>
        <w:t>》</w:t>
      </w:r>
      <w:r>
        <w:rPr>
          <w:rFonts w:hint="default" w:ascii="仿宋_GB2312" w:hAnsi="仿宋" w:eastAsia="仿宋_GB2312" w:cs="Times New Roman"/>
          <w:color w:val="000000"/>
          <w:kern w:val="0"/>
          <w:sz w:val="32"/>
          <w:szCs w:val="32"/>
          <w:shd w:val="clear" w:color="auto" w:fill="FFFFFF"/>
          <w:lang w:eastAsia="zh-CN"/>
        </w:rPr>
        <w:t>编制组。</w:t>
      </w:r>
      <w:bookmarkStart w:id="26" w:name="_GoBack"/>
      <w:bookmarkEnd w:id="26"/>
    </w:p>
    <w:p>
      <w:pPr>
        <w:widowControl/>
        <w:shd w:val="clear" w:color="auto" w:fill="FFFFFF"/>
        <w:spacing w:line="560" w:lineRule="exact"/>
        <w:ind w:firstLine="640" w:firstLineChars="200"/>
        <w:rPr>
          <w:rFonts w:ascii="仿宋_GB2312" w:hAnsi="仿宋" w:eastAsia="仿宋_GB2312"/>
          <w:color w:val="auto"/>
          <w:kern w:val="0"/>
          <w:sz w:val="32"/>
          <w:szCs w:val="32"/>
          <w:shd w:val="clear" w:color="auto" w:fill="FFFFFF"/>
        </w:rPr>
      </w:pPr>
      <w:r>
        <w:rPr>
          <w:rFonts w:hint="eastAsia" w:ascii="仿宋_GB2312" w:hAnsi="仿宋" w:eastAsia="仿宋_GB2312" w:cs="Times New Roman"/>
          <w:color w:val="000000"/>
          <w:kern w:val="0"/>
          <w:sz w:val="32"/>
          <w:szCs w:val="32"/>
          <w:shd w:val="clear" w:color="auto" w:fill="FFFFFF"/>
          <w:lang w:val="en-US" w:eastAsia="zh-CN"/>
        </w:rPr>
        <w:t>编制过程</w:t>
      </w:r>
      <w:r>
        <w:rPr>
          <w:rFonts w:hint="default" w:ascii="仿宋_GB2312" w:hAnsi="仿宋" w:eastAsia="仿宋_GB2312" w:cs="Times New Roman"/>
          <w:color w:val="000000"/>
          <w:kern w:val="0"/>
          <w:sz w:val="32"/>
          <w:szCs w:val="32"/>
          <w:shd w:val="clear" w:color="auto" w:fill="FFFFFF"/>
          <w:lang w:val="en-US" w:eastAsia="zh-CN"/>
        </w:rPr>
        <w:t>大致经历前期准备、调研起草、征求意见和专家论证四个阶段。</w:t>
      </w:r>
      <w:r>
        <w:rPr>
          <w:rFonts w:hint="eastAsia" w:ascii="仿宋_GB2312" w:hAnsi="仿宋" w:eastAsia="仿宋_GB2312"/>
          <w:color w:val="000000"/>
          <w:kern w:val="0"/>
          <w:sz w:val="32"/>
          <w:szCs w:val="32"/>
          <w:shd w:val="clear" w:color="auto" w:fill="FFFFFF"/>
        </w:rPr>
        <w:t>编制组先后赴乐清市召开专题研讨会10余场。2021年5月编制组拟定初稿并在卫健局机关处室反复研讨修改，随后6-8</w:t>
      </w:r>
      <w:r>
        <w:rPr>
          <w:rFonts w:hint="eastAsia" w:ascii="仿宋_GB2312" w:hAnsi="仿宋" w:eastAsia="仿宋_GB2312"/>
          <w:color w:val="000000"/>
          <w:kern w:val="0"/>
          <w:sz w:val="32"/>
          <w:szCs w:val="32"/>
          <w:shd w:val="clear" w:color="auto" w:fill="FFFFFF"/>
          <w:lang w:val="en-US" w:eastAsia="zh-CN"/>
        </w:rPr>
        <w:t>月</w:t>
      </w:r>
      <w:r>
        <w:rPr>
          <w:rFonts w:hint="eastAsia" w:ascii="仿宋_GB2312" w:hAnsi="仿宋" w:eastAsia="仿宋_GB2312"/>
          <w:color w:val="000000"/>
          <w:kern w:val="0"/>
          <w:sz w:val="32"/>
          <w:szCs w:val="32"/>
          <w:shd w:val="clear" w:color="auto" w:fill="FFFFFF"/>
        </w:rPr>
        <w:t>多次赴我局开展调研工作，</w:t>
      </w:r>
      <w:r>
        <w:rPr>
          <w:rFonts w:hint="eastAsia" w:ascii="仿宋_GB2312" w:hAnsi="仿宋" w:eastAsia="仿宋_GB2312"/>
          <w:color w:val="000000"/>
          <w:kern w:val="0"/>
          <w:sz w:val="32"/>
          <w:szCs w:val="32"/>
          <w:shd w:val="clear" w:color="auto" w:fill="FFFFFF"/>
          <w:lang w:val="en-US" w:eastAsia="zh-CN"/>
        </w:rPr>
        <w:t>并于</w:t>
      </w:r>
      <w:r>
        <w:rPr>
          <w:rFonts w:hint="eastAsia" w:ascii="仿宋_GB2312" w:hAnsi="仿宋" w:eastAsia="仿宋_GB2312"/>
          <w:color w:val="000000"/>
          <w:kern w:val="0"/>
          <w:sz w:val="32"/>
          <w:szCs w:val="32"/>
          <w:shd w:val="clear" w:color="auto" w:fill="FFFFFF"/>
        </w:rPr>
        <w:t>8月再次征求有关部门意见并形成专家论证稿</w:t>
      </w:r>
      <w:r>
        <w:rPr>
          <w:rFonts w:hint="eastAsia" w:ascii="仿宋_GB2312" w:hAnsi="仿宋" w:eastAsia="仿宋_GB2312"/>
          <w:kern w:val="0"/>
          <w:sz w:val="32"/>
          <w:szCs w:val="32"/>
          <w:shd w:val="clear" w:color="auto" w:fill="FFFFFF"/>
        </w:rPr>
        <w:t>。</w:t>
      </w:r>
      <w:r>
        <w:rPr>
          <w:rFonts w:hint="eastAsia" w:ascii="仿宋_GB2312" w:hAnsi="仿宋" w:eastAsia="仿宋_GB2312"/>
          <w:color w:val="000000"/>
          <w:kern w:val="0"/>
          <w:sz w:val="32"/>
          <w:szCs w:val="32"/>
          <w:shd w:val="clear" w:color="auto" w:fill="FFFFFF"/>
          <w:lang w:eastAsia="zh-CN"/>
        </w:rPr>
        <w:t>我局于</w:t>
      </w:r>
      <w:r>
        <w:rPr>
          <w:rFonts w:hint="eastAsia" w:ascii="仿宋_GB2312" w:hAnsi="仿宋" w:eastAsia="仿宋_GB2312"/>
          <w:color w:val="auto"/>
          <w:kern w:val="0"/>
          <w:sz w:val="32"/>
          <w:szCs w:val="32"/>
          <w:shd w:val="clear" w:color="auto" w:fill="FFFFFF"/>
          <w:lang w:val="en-US" w:eastAsia="zh-CN"/>
        </w:rPr>
        <w:t>9</w:t>
      </w:r>
      <w:r>
        <w:rPr>
          <w:rFonts w:hint="eastAsia" w:ascii="仿宋_GB2312" w:hAnsi="仿宋" w:eastAsia="仿宋_GB2312"/>
          <w:color w:val="auto"/>
          <w:kern w:val="0"/>
          <w:sz w:val="32"/>
          <w:szCs w:val="32"/>
          <w:shd w:val="clear" w:color="auto" w:fill="FFFFFF"/>
        </w:rPr>
        <w:t>月召开专家论证会，</w:t>
      </w:r>
      <w:r>
        <w:rPr>
          <w:rFonts w:hint="eastAsia" w:ascii="仿宋_GB2312" w:hAnsi="仿宋" w:eastAsia="仿宋_GB2312"/>
          <w:color w:val="auto"/>
          <w:kern w:val="0"/>
          <w:sz w:val="32"/>
          <w:szCs w:val="32"/>
          <w:shd w:val="clear" w:color="auto" w:fill="FFFFFF"/>
          <w:lang w:eastAsia="zh-CN"/>
        </w:rPr>
        <w:t>编制组</w:t>
      </w:r>
      <w:r>
        <w:rPr>
          <w:rFonts w:hint="eastAsia" w:ascii="仿宋_GB2312" w:hAnsi="仿宋" w:eastAsia="仿宋_GB2312"/>
          <w:color w:val="auto"/>
          <w:kern w:val="0"/>
          <w:sz w:val="32"/>
          <w:szCs w:val="32"/>
          <w:shd w:val="clear" w:color="auto" w:fill="FFFFFF"/>
        </w:rPr>
        <w:t>吸收专家意见作进一步修改</w:t>
      </w:r>
      <w:r>
        <w:rPr>
          <w:rFonts w:hint="eastAsia" w:ascii="仿宋_GB2312" w:hAnsi="仿宋" w:eastAsia="仿宋_GB2312"/>
          <w:color w:val="000000"/>
          <w:kern w:val="0"/>
          <w:sz w:val="32"/>
          <w:szCs w:val="32"/>
          <w:shd w:val="clear" w:color="auto" w:fill="FFFFFF"/>
          <w:lang w:eastAsia="zh-CN"/>
        </w:rPr>
        <w:t>。我局于</w:t>
      </w:r>
      <w:r>
        <w:rPr>
          <w:rFonts w:hint="eastAsia" w:ascii="仿宋_GB2312" w:hAnsi="仿宋" w:eastAsia="仿宋_GB2312"/>
          <w:color w:val="auto"/>
          <w:kern w:val="0"/>
          <w:sz w:val="32"/>
          <w:szCs w:val="32"/>
          <w:shd w:val="clear" w:color="auto" w:fill="FFFFFF"/>
        </w:rPr>
        <w:t>10月</w:t>
      </w:r>
      <w:r>
        <w:rPr>
          <w:rFonts w:hint="eastAsia" w:ascii="仿宋_GB2312" w:hAnsi="仿宋" w:eastAsia="仿宋_GB2312"/>
          <w:color w:val="auto"/>
          <w:kern w:val="0"/>
          <w:sz w:val="32"/>
          <w:szCs w:val="32"/>
          <w:shd w:val="clear" w:color="auto" w:fill="FFFFFF"/>
          <w:lang w:eastAsia="zh-CN"/>
        </w:rPr>
        <w:t>初</w:t>
      </w:r>
      <w:r>
        <w:rPr>
          <w:rFonts w:hint="eastAsia" w:ascii="仿宋_GB2312" w:hAnsi="仿宋" w:eastAsia="仿宋_GB2312"/>
          <w:color w:val="auto"/>
          <w:kern w:val="0"/>
          <w:sz w:val="32"/>
          <w:szCs w:val="32"/>
          <w:shd w:val="clear" w:color="auto" w:fill="FFFFFF"/>
        </w:rPr>
        <w:t>党委会研究</w:t>
      </w:r>
      <w:r>
        <w:rPr>
          <w:rFonts w:hint="eastAsia" w:ascii="仿宋_GB2312" w:hAnsi="仿宋" w:eastAsia="仿宋_GB2312"/>
          <w:color w:val="auto"/>
          <w:kern w:val="0"/>
          <w:sz w:val="32"/>
          <w:szCs w:val="32"/>
          <w:shd w:val="clear" w:color="auto" w:fill="FFFFFF"/>
          <w:lang w:eastAsia="zh-CN"/>
        </w:rPr>
        <w:t>，</w:t>
      </w:r>
      <w:r>
        <w:rPr>
          <w:rFonts w:hint="eastAsia" w:ascii="仿宋_GB2312" w:hAnsi="仿宋" w:eastAsia="仿宋_GB2312"/>
          <w:color w:val="auto"/>
          <w:kern w:val="0"/>
          <w:sz w:val="32"/>
          <w:szCs w:val="32"/>
          <w:shd w:val="clear" w:color="auto" w:fill="FFFFFF"/>
          <w:lang w:val="en-US" w:eastAsia="zh-CN"/>
        </w:rPr>
        <w:t>编制</w:t>
      </w:r>
      <w:r>
        <w:rPr>
          <w:rFonts w:hint="eastAsia" w:ascii="仿宋_GB2312" w:hAnsi="仿宋" w:eastAsia="仿宋_GB2312"/>
          <w:color w:val="auto"/>
          <w:kern w:val="0"/>
          <w:sz w:val="32"/>
          <w:szCs w:val="32"/>
          <w:shd w:val="clear" w:color="auto" w:fill="FFFFFF"/>
          <w:lang w:eastAsia="zh-CN"/>
        </w:rPr>
        <w:t>组</w:t>
      </w:r>
      <w:r>
        <w:rPr>
          <w:rFonts w:hint="eastAsia" w:ascii="仿宋_GB2312" w:hAnsi="仿宋" w:eastAsia="仿宋_GB2312"/>
          <w:color w:val="auto"/>
          <w:kern w:val="0"/>
          <w:sz w:val="32"/>
          <w:szCs w:val="32"/>
          <w:shd w:val="clear" w:color="auto" w:fill="FFFFFF"/>
        </w:rPr>
        <w:t>根据党委会意见再次完善</w:t>
      </w:r>
      <w:r>
        <w:rPr>
          <w:rFonts w:hint="eastAsia" w:ascii="仿宋_GB2312" w:hAnsi="仿宋" w:eastAsia="仿宋_GB2312"/>
          <w:color w:val="auto"/>
          <w:kern w:val="0"/>
          <w:sz w:val="32"/>
          <w:szCs w:val="32"/>
          <w:shd w:val="clear" w:color="auto" w:fill="FFFFFF"/>
          <w:lang w:eastAsia="zh-CN"/>
        </w:rPr>
        <w:t>。</w:t>
      </w:r>
      <w:r>
        <w:rPr>
          <w:rFonts w:hint="eastAsia" w:ascii="仿宋_GB2312" w:hAnsi="仿宋" w:eastAsia="仿宋_GB2312"/>
          <w:color w:val="auto"/>
          <w:kern w:val="0"/>
          <w:sz w:val="32"/>
          <w:szCs w:val="32"/>
          <w:shd w:val="clear" w:color="auto" w:fill="FFFFFF"/>
        </w:rPr>
        <w:t>1</w:t>
      </w:r>
      <w:r>
        <w:rPr>
          <w:rFonts w:hint="eastAsia" w:ascii="仿宋_GB2312" w:hAnsi="仿宋" w:eastAsia="仿宋_GB2312"/>
          <w:color w:val="auto"/>
          <w:kern w:val="0"/>
          <w:sz w:val="32"/>
          <w:szCs w:val="32"/>
          <w:shd w:val="clear" w:color="auto" w:fill="FFFFFF"/>
          <w:lang w:val="en-US" w:eastAsia="zh-CN"/>
        </w:rPr>
        <w:t>1</w:t>
      </w:r>
      <w:r>
        <w:rPr>
          <w:rFonts w:hint="eastAsia" w:ascii="仿宋_GB2312" w:hAnsi="仿宋" w:eastAsia="仿宋_GB2312"/>
          <w:color w:val="auto"/>
          <w:kern w:val="0"/>
          <w:sz w:val="32"/>
          <w:szCs w:val="32"/>
          <w:shd w:val="clear" w:color="auto" w:fill="FFFFFF"/>
        </w:rPr>
        <w:t>月</w:t>
      </w:r>
      <w:r>
        <w:rPr>
          <w:rFonts w:hint="eastAsia" w:ascii="仿宋_GB2312" w:hAnsi="仿宋" w:eastAsia="仿宋_GB2312"/>
          <w:color w:val="auto"/>
          <w:kern w:val="0"/>
          <w:sz w:val="32"/>
          <w:szCs w:val="32"/>
          <w:shd w:val="clear" w:color="auto" w:fill="FFFFFF"/>
          <w:lang w:eastAsia="zh-CN"/>
        </w:rPr>
        <w:t>上旬</w:t>
      </w:r>
      <w:r>
        <w:rPr>
          <w:rFonts w:hint="eastAsia" w:ascii="仿宋_GB2312" w:hAnsi="仿宋" w:eastAsia="仿宋_GB2312"/>
          <w:color w:val="auto"/>
          <w:kern w:val="0"/>
          <w:sz w:val="32"/>
          <w:szCs w:val="32"/>
          <w:shd w:val="clear" w:color="auto" w:fill="FFFFFF"/>
        </w:rPr>
        <w:t>市</w:t>
      </w:r>
      <w:r>
        <w:rPr>
          <w:rFonts w:hint="eastAsia" w:ascii="仿宋_GB2312" w:hAnsi="仿宋" w:eastAsia="仿宋_GB2312"/>
          <w:color w:val="auto"/>
          <w:kern w:val="0"/>
          <w:sz w:val="32"/>
          <w:szCs w:val="32"/>
          <w:shd w:val="clear" w:color="auto" w:fill="FFFFFF"/>
          <w:lang w:eastAsia="zh-CN"/>
        </w:rPr>
        <w:t>规划办</w:t>
      </w:r>
      <w:r>
        <w:rPr>
          <w:rFonts w:hint="eastAsia" w:ascii="仿宋_GB2312" w:hAnsi="仿宋" w:eastAsia="仿宋_GB2312"/>
          <w:color w:val="auto"/>
          <w:kern w:val="0"/>
          <w:sz w:val="32"/>
          <w:szCs w:val="32"/>
          <w:shd w:val="clear" w:color="auto" w:fill="FFFFFF"/>
        </w:rPr>
        <w:t>出具审核意见，我局据此修改完善形成报批稿。</w:t>
      </w:r>
    </w:p>
    <w:p>
      <w:pPr>
        <w:widowControl/>
        <w:shd w:val="clear" w:color="auto" w:fill="FFFFFF"/>
        <w:spacing w:line="560" w:lineRule="exact"/>
        <w:ind w:firstLine="692"/>
        <w:rPr>
          <w:rFonts w:hint="eastAsia" w:ascii="仿宋_GB2312" w:hAnsi="仿宋" w:eastAsia="仿宋_GB2312" w:cs="Times New Roman"/>
          <w:color w:val="000000"/>
          <w:kern w:val="0"/>
          <w:sz w:val="32"/>
          <w:szCs w:val="32"/>
          <w:shd w:val="clear" w:color="auto" w:fill="FFFFFF"/>
          <w:lang w:val="en-US" w:eastAsia="zh-CN"/>
        </w:rPr>
      </w:pPr>
      <w:r>
        <w:rPr>
          <w:rFonts w:hint="default" w:ascii="仿宋_GB2312" w:hAnsi="仿宋" w:eastAsia="仿宋_GB2312" w:cs="Times New Roman"/>
          <w:color w:val="000000"/>
          <w:kern w:val="0"/>
          <w:sz w:val="32"/>
          <w:szCs w:val="32"/>
          <w:shd w:val="clear" w:color="auto" w:fill="FFFFFF"/>
          <w:lang w:val="en-US" w:eastAsia="zh-CN"/>
        </w:rPr>
        <w:t>在此期间，编制组充分衔接《浙江省卫生健康事业发展及突发公共卫生事件应急管理</w:t>
      </w:r>
      <w:r>
        <w:rPr>
          <w:rFonts w:hint="eastAsia" w:ascii="仿宋_GB2312" w:hAnsi="仿宋" w:eastAsia="仿宋_GB2312" w:cs="Times New Roman"/>
          <w:color w:val="000000"/>
          <w:kern w:val="0"/>
          <w:sz w:val="32"/>
          <w:szCs w:val="32"/>
          <w:shd w:val="clear" w:color="auto" w:fill="FFFFFF"/>
          <w:lang w:val="en-US" w:eastAsia="zh-CN"/>
        </w:rPr>
        <w:t>“十四五”</w:t>
      </w:r>
      <w:r>
        <w:rPr>
          <w:rFonts w:hint="default" w:ascii="仿宋_GB2312" w:hAnsi="仿宋" w:eastAsia="仿宋_GB2312" w:cs="Times New Roman"/>
          <w:color w:val="000000"/>
          <w:kern w:val="0"/>
          <w:sz w:val="32"/>
          <w:szCs w:val="32"/>
          <w:shd w:val="clear" w:color="auto" w:fill="FFFFFF"/>
          <w:lang w:val="en-US" w:eastAsia="zh-CN"/>
        </w:rPr>
        <w:t>规划》《浙江省医疗卫生服务体系暨医疗机构设置</w:t>
      </w:r>
      <w:r>
        <w:rPr>
          <w:rFonts w:hint="eastAsia" w:ascii="仿宋_GB2312" w:hAnsi="仿宋" w:eastAsia="仿宋_GB2312" w:cs="Times New Roman"/>
          <w:color w:val="000000"/>
          <w:kern w:val="0"/>
          <w:sz w:val="32"/>
          <w:szCs w:val="32"/>
          <w:shd w:val="clear" w:color="auto" w:fill="FFFFFF"/>
          <w:lang w:val="en-US" w:eastAsia="zh-CN"/>
        </w:rPr>
        <w:t>“十四五”</w:t>
      </w:r>
      <w:r>
        <w:rPr>
          <w:rFonts w:hint="default" w:ascii="仿宋_GB2312" w:hAnsi="仿宋" w:eastAsia="仿宋_GB2312" w:cs="Times New Roman"/>
          <w:color w:val="000000"/>
          <w:kern w:val="0"/>
          <w:sz w:val="32"/>
          <w:szCs w:val="32"/>
          <w:shd w:val="clear" w:color="auto" w:fill="FFFFFF"/>
          <w:lang w:val="en-US" w:eastAsia="zh-CN"/>
        </w:rPr>
        <w:t>规划》《温州市卫生健康事业发展及突发公共卫生事件应急管理</w:t>
      </w:r>
      <w:r>
        <w:rPr>
          <w:rFonts w:hint="eastAsia" w:ascii="仿宋_GB2312" w:hAnsi="仿宋" w:eastAsia="仿宋_GB2312" w:cs="Times New Roman"/>
          <w:color w:val="000000"/>
          <w:kern w:val="0"/>
          <w:sz w:val="32"/>
          <w:szCs w:val="32"/>
          <w:shd w:val="clear" w:color="auto" w:fill="FFFFFF"/>
          <w:lang w:val="en-US" w:eastAsia="zh-CN"/>
        </w:rPr>
        <w:t>“十四五”</w:t>
      </w:r>
      <w:r>
        <w:rPr>
          <w:rFonts w:hint="default" w:ascii="仿宋_GB2312" w:hAnsi="仿宋" w:eastAsia="仿宋_GB2312" w:cs="Times New Roman"/>
          <w:color w:val="000000"/>
          <w:kern w:val="0"/>
          <w:sz w:val="32"/>
          <w:szCs w:val="32"/>
          <w:shd w:val="clear" w:color="auto" w:fill="FFFFFF"/>
          <w:lang w:val="en-US" w:eastAsia="zh-CN"/>
        </w:rPr>
        <w:t>规划》</w:t>
      </w:r>
      <w:bookmarkStart w:id="2" w:name="OLE_LINK5"/>
      <w:r>
        <w:rPr>
          <w:rFonts w:hint="default" w:ascii="仿宋_GB2312" w:hAnsi="仿宋" w:eastAsia="仿宋_GB2312" w:cs="Times New Roman"/>
          <w:color w:val="000000"/>
          <w:kern w:val="0"/>
          <w:sz w:val="32"/>
          <w:szCs w:val="32"/>
          <w:shd w:val="clear" w:color="auto" w:fill="FFFFFF"/>
          <w:lang w:val="en-US" w:eastAsia="zh-CN"/>
        </w:rPr>
        <w:t>《</w:t>
      </w:r>
      <w:bookmarkStart w:id="3" w:name="_Toc31592"/>
      <w:bookmarkStart w:id="4" w:name="_Toc8183"/>
      <w:bookmarkStart w:id="5" w:name="_Toc9197"/>
      <w:bookmarkStart w:id="6" w:name="_Toc25318"/>
      <w:bookmarkStart w:id="7" w:name="_Toc30321"/>
      <w:bookmarkStart w:id="8" w:name="_Toc26856"/>
      <w:bookmarkStart w:id="9" w:name="_Toc8139"/>
      <w:bookmarkStart w:id="10" w:name="_Toc7132"/>
      <w:r>
        <w:rPr>
          <w:rFonts w:hint="default" w:ascii="仿宋_GB2312" w:hAnsi="仿宋" w:eastAsia="仿宋_GB2312" w:cs="Times New Roman"/>
          <w:color w:val="000000"/>
          <w:kern w:val="0"/>
          <w:sz w:val="32"/>
          <w:szCs w:val="32"/>
          <w:shd w:val="clear" w:color="auto" w:fill="FFFFFF"/>
          <w:lang w:val="en-US" w:eastAsia="zh-CN"/>
        </w:rPr>
        <w:t>温州市区域卫生（中心城区医疗卫生机构设置）</w:t>
      </w:r>
      <w:r>
        <w:rPr>
          <w:rFonts w:hint="eastAsia" w:ascii="仿宋_GB2312" w:hAnsi="仿宋" w:eastAsia="仿宋_GB2312" w:cs="Times New Roman"/>
          <w:color w:val="000000"/>
          <w:kern w:val="0"/>
          <w:sz w:val="32"/>
          <w:szCs w:val="32"/>
          <w:shd w:val="clear" w:color="auto" w:fill="FFFFFF"/>
          <w:lang w:val="en-US" w:eastAsia="zh-CN"/>
        </w:rPr>
        <w:t>“十四五”</w:t>
      </w:r>
      <w:r>
        <w:rPr>
          <w:rFonts w:hint="default" w:ascii="仿宋_GB2312" w:hAnsi="仿宋" w:eastAsia="仿宋_GB2312" w:cs="Times New Roman"/>
          <w:color w:val="000000"/>
          <w:kern w:val="0"/>
          <w:sz w:val="32"/>
          <w:szCs w:val="32"/>
          <w:shd w:val="clear" w:color="auto" w:fill="FFFFFF"/>
          <w:lang w:val="en-US" w:eastAsia="zh-CN"/>
        </w:rPr>
        <w:t>规划</w:t>
      </w:r>
      <w:bookmarkEnd w:id="3"/>
      <w:bookmarkEnd w:id="4"/>
      <w:bookmarkEnd w:id="5"/>
      <w:bookmarkEnd w:id="6"/>
      <w:bookmarkEnd w:id="7"/>
      <w:bookmarkEnd w:id="8"/>
      <w:bookmarkEnd w:id="9"/>
      <w:bookmarkEnd w:id="10"/>
      <w:r>
        <w:rPr>
          <w:rFonts w:hint="default" w:ascii="仿宋_GB2312" w:hAnsi="仿宋" w:eastAsia="仿宋_GB2312" w:cs="Times New Roman"/>
          <w:color w:val="000000"/>
          <w:kern w:val="0"/>
          <w:sz w:val="32"/>
          <w:szCs w:val="32"/>
          <w:shd w:val="clear" w:color="auto" w:fill="FFFFFF"/>
          <w:lang w:val="en-US" w:eastAsia="zh-CN"/>
        </w:rPr>
        <w:t>》</w:t>
      </w:r>
      <w:bookmarkEnd w:id="2"/>
      <w:bookmarkStart w:id="11" w:name="OLE_LINK7"/>
      <w:r>
        <w:rPr>
          <w:rFonts w:hint="eastAsia" w:ascii="仿宋_GB2312" w:hAnsi="仿宋" w:eastAsia="仿宋_GB2312" w:cs="Times New Roman"/>
          <w:color w:val="000000"/>
          <w:kern w:val="0"/>
          <w:sz w:val="32"/>
          <w:szCs w:val="32"/>
          <w:shd w:val="clear" w:color="auto" w:fill="FFFFFF"/>
          <w:lang w:val="en-US" w:eastAsia="zh-CN"/>
        </w:rPr>
        <w:t>和</w:t>
      </w:r>
      <w:r>
        <w:rPr>
          <w:rFonts w:hint="default" w:ascii="仿宋_GB2312" w:hAnsi="仿宋" w:eastAsia="仿宋_GB2312" w:cs="Times New Roman"/>
          <w:color w:val="000000"/>
          <w:kern w:val="0"/>
          <w:sz w:val="32"/>
          <w:szCs w:val="32"/>
          <w:shd w:val="clear" w:color="auto" w:fill="FFFFFF"/>
          <w:lang w:val="en-US" w:eastAsia="zh-CN"/>
        </w:rPr>
        <w:t>《乐清市国民经济和社会发展第十四个五年规划和二〇三五年远景目标纲要》</w:t>
      </w:r>
      <w:bookmarkEnd w:id="11"/>
      <w:r>
        <w:rPr>
          <w:rFonts w:hint="default" w:ascii="仿宋_GB2312" w:hAnsi="仿宋" w:eastAsia="仿宋_GB2312" w:cs="Times New Roman"/>
          <w:color w:val="000000"/>
          <w:kern w:val="0"/>
          <w:sz w:val="32"/>
          <w:szCs w:val="32"/>
          <w:shd w:val="clear" w:color="auto" w:fill="FFFFFF"/>
          <w:lang w:val="en-US" w:eastAsia="zh-CN"/>
        </w:rPr>
        <w:t>等，对</w:t>
      </w:r>
      <w:r>
        <w:rPr>
          <w:rFonts w:hint="eastAsia" w:ascii="仿宋_GB2312" w:hAnsi="仿宋" w:eastAsia="仿宋_GB2312" w:cs="Times New Roman"/>
          <w:color w:val="000000"/>
          <w:kern w:val="0"/>
          <w:sz w:val="32"/>
          <w:szCs w:val="32"/>
          <w:shd w:val="clear" w:color="auto" w:fill="FFFFFF"/>
          <w:lang w:val="en-US" w:eastAsia="zh-CN"/>
        </w:rPr>
        <w:t>本规划</w:t>
      </w:r>
      <w:r>
        <w:rPr>
          <w:rFonts w:hint="default" w:ascii="仿宋_GB2312" w:hAnsi="仿宋" w:eastAsia="仿宋_GB2312" w:cs="Times New Roman"/>
          <w:color w:val="000000"/>
          <w:kern w:val="0"/>
          <w:sz w:val="32"/>
          <w:szCs w:val="32"/>
          <w:shd w:val="clear" w:color="auto" w:fill="FFFFFF"/>
          <w:lang w:val="en-US" w:eastAsia="zh-CN"/>
        </w:rPr>
        <w:t>不断修改完善。</w:t>
      </w:r>
    </w:p>
    <w:p>
      <w:pPr>
        <w:pStyle w:val="3"/>
        <w:bidi w:val="0"/>
      </w:pPr>
      <w:r>
        <w:rPr>
          <w:rFonts w:hint="default"/>
        </w:rPr>
        <w:t>主要内容</w:t>
      </w:r>
    </w:p>
    <w:p>
      <w:pPr>
        <w:widowControl/>
        <w:shd w:val="clear" w:color="auto" w:fill="FFFFFF"/>
        <w:spacing w:line="560" w:lineRule="exact"/>
        <w:ind w:firstLine="692"/>
        <w:rPr>
          <w:rFonts w:hint="default" w:ascii="仿宋_GB2312" w:hAnsi="仿宋" w:eastAsia="仿宋_GB2312" w:cs="Times New Roman"/>
          <w:color w:val="000000"/>
          <w:kern w:val="0"/>
          <w:sz w:val="32"/>
          <w:szCs w:val="32"/>
          <w:shd w:val="clear" w:color="auto" w:fill="FFFFFF"/>
          <w:lang w:val="en-US" w:eastAsia="zh-CN"/>
        </w:rPr>
      </w:pPr>
      <w:r>
        <w:rPr>
          <w:rFonts w:hint="default" w:ascii="仿宋_GB2312" w:hAnsi="仿宋" w:eastAsia="仿宋_GB2312" w:cs="Times New Roman"/>
          <w:color w:val="000000"/>
          <w:kern w:val="0"/>
          <w:sz w:val="32"/>
          <w:szCs w:val="32"/>
          <w:shd w:val="clear" w:color="auto" w:fill="FFFFFF"/>
          <w:lang w:val="en-US" w:eastAsia="zh-CN"/>
        </w:rPr>
        <w:t>主要内容</w:t>
      </w:r>
      <w:r>
        <w:rPr>
          <w:rFonts w:hint="eastAsia" w:ascii="仿宋_GB2312" w:hAnsi="仿宋" w:eastAsia="仿宋_GB2312" w:cs="Times New Roman"/>
          <w:color w:val="000000"/>
          <w:kern w:val="0"/>
          <w:sz w:val="32"/>
          <w:szCs w:val="32"/>
          <w:shd w:val="clear" w:color="auto" w:fill="FFFFFF"/>
          <w:lang w:val="en-US" w:eastAsia="zh-CN"/>
        </w:rPr>
        <w:t>包括</w:t>
      </w:r>
      <w:r>
        <w:rPr>
          <w:rFonts w:hint="default" w:ascii="仿宋_GB2312" w:hAnsi="仿宋" w:eastAsia="仿宋_GB2312" w:cs="Times New Roman"/>
          <w:color w:val="000000"/>
          <w:kern w:val="0"/>
          <w:sz w:val="32"/>
          <w:szCs w:val="32"/>
          <w:shd w:val="clear" w:color="auto" w:fill="FFFFFF"/>
          <w:lang w:val="en-US" w:eastAsia="zh-CN"/>
        </w:rPr>
        <w:t>规划背景、总体思路、机构设置与功能定位、主要卫生资源配置、重点任务及保障措施六个部分。</w:t>
      </w:r>
    </w:p>
    <w:p>
      <w:pPr>
        <w:numPr>
          <w:ilvl w:val="0"/>
          <w:numId w:val="2"/>
        </w:numPr>
        <w:spacing w:line="360" w:lineRule="auto"/>
        <w:ind w:firstLine="643" w:firstLineChars="200"/>
        <w:outlineLvl w:val="1"/>
        <w:rPr>
          <w:rFonts w:hint="default" w:ascii="仿宋_GB2312" w:hAnsi="仿宋"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b/>
          <w:bCs/>
          <w:color w:val="000000"/>
          <w:kern w:val="0"/>
          <w:sz w:val="32"/>
          <w:szCs w:val="32"/>
          <w:shd w:val="clear" w:color="auto" w:fill="FFFFFF"/>
          <w:lang w:val="en-US" w:eastAsia="zh-CN"/>
        </w:rPr>
        <w:t>规划背景</w:t>
      </w:r>
      <w:r>
        <w:rPr>
          <w:rFonts w:hint="eastAsia" w:ascii="Times New Roman" w:hAnsi="Times New Roman" w:eastAsia="仿宋_GB2312" w:cs="Times New Roman"/>
          <w:b/>
          <w:bCs/>
          <w:color w:val="000000"/>
          <w:kern w:val="0"/>
          <w:sz w:val="32"/>
          <w:szCs w:val="32"/>
          <w:shd w:val="clear" w:color="auto" w:fill="FFFFFF"/>
          <w:lang w:val="en-US" w:eastAsia="zh-CN"/>
        </w:rPr>
        <w:t>。</w:t>
      </w:r>
      <w:r>
        <w:rPr>
          <w:rFonts w:hint="eastAsia" w:ascii="仿宋_GB2312" w:hAnsi="仿宋" w:eastAsia="仿宋_GB2312" w:cs="Times New Roman"/>
          <w:color w:val="000000"/>
          <w:kern w:val="0"/>
          <w:sz w:val="32"/>
          <w:szCs w:val="32"/>
          <w:shd w:val="clear" w:color="auto" w:fill="FFFFFF"/>
          <w:lang w:val="en-US" w:eastAsia="zh-CN"/>
        </w:rPr>
        <w:t>包括</w:t>
      </w:r>
      <w:r>
        <w:rPr>
          <w:rFonts w:hint="default" w:ascii="仿宋_GB2312" w:hAnsi="仿宋" w:eastAsia="仿宋_GB2312" w:cs="Times New Roman"/>
          <w:color w:val="000000"/>
          <w:kern w:val="0"/>
          <w:sz w:val="32"/>
          <w:szCs w:val="32"/>
          <w:shd w:val="clear" w:color="auto" w:fill="FFFFFF"/>
          <w:lang w:val="en-US" w:eastAsia="zh-CN"/>
        </w:rPr>
        <w:t>社会经济概况、医疗资源配置现状、</w:t>
      </w:r>
      <w:r>
        <w:rPr>
          <w:rFonts w:hint="eastAsia" w:ascii="仿宋_GB2312" w:hAnsi="仿宋" w:eastAsia="仿宋_GB2312" w:cs="Times New Roman"/>
          <w:color w:val="000000"/>
          <w:kern w:val="0"/>
          <w:sz w:val="32"/>
          <w:szCs w:val="32"/>
          <w:shd w:val="clear" w:color="auto" w:fill="FFFFFF"/>
          <w:lang w:val="en-US" w:eastAsia="zh-CN"/>
        </w:rPr>
        <w:t>“十三五”</w:t>
      </w:r>
      <w:r>
        <w:rPr>
          <w:rFonts w:hint="default" w:ascii="仿宋_GB2312" w:hAnsi="仿宋" w:eastAsia="仿宋_GB2312" w:cs="Times New Roman"/>
          <w:color w:val="000000"/>
          <w:kern w:val="0"/>
          <w:sz w:val="32"/>
          <w:szCs w:val="32"/>
          <w:shd w:val="clear" w:color="auto" w:fill="FFFFFF"/>
          <w:lang w:val="en-US" w:eastAsia="zh-CN"/>
        </w:rPr>
        <w:t>主要指标完成情况以及目前乐清市医疗卫生事业所面临的挑战</w:t>
      </w:r>
      <w:r>
        <w:rPr>
          <w:rFonts w:hint="eastAsia" w:ascii="仿宋_GB2312" w:hAnsi="仿宋" w:eastAsia="仿宋_GB2312" w:cs="Times New Roman"/>
          <w:color w:val="000000"/>
          <w:kern w:val="0"/>
          <w:sz w:val="32"/>
          <w:szCs w:val="32"/>
          <w:shd w:val="clear" w:color="auto" w:fill="FFFFFF"/>
          <w:lang w:val="en-US" w:eastAsia="zh-CN"/>
        </w:rPr>
        <w:t>。社会经济概况包括全市常住人口、总户数、老年人人口比、居民人均可支配收入等；医疗资源配置现状包括医疗服务体系现状、医疗人力资源现状、医疗机构现状、卫生经费等。然后总结了我市“</w:t>
      </w:r>
      <w:r>
        <w:rPr>
          <w:rFonts w:hint="default" w:ascii="仿宋_GB2312" w:hAnsi="仿宋" w:eastAsia="仿宋_GB2312" w:cs="Times New Roman"/>
          <w:color w:val="000000"/>
          <w:kern w:val="0"/>
          <w:sz w:val="32"/>
          <w:szCs w:val="32"/>
          <w:shd w:val="clear" w:color="auto" w:fill="FFFFFF"/>
          <w:lang w:val="en-US" w:eastAsia="zh-CN"/>
        </w:rPr>
        <w:t>十三五</w:t>
      </w:r>
      <w:r>
        <w:rPr>
          <w:rFonts w:hint="eastAsia" w:ascii="仿宋_GB2312" w:hAnsi="仿宋" w:eastAsia="仿宋_GB2312" w:cs="Times New Roman"/>
          <w:color w:val="000000"/>
          <w:kern w:val="0"/>
          <w:sz w:val="32"/>
          <w:szCs w:val="32"/>
          <w:shd w:val="clear" w:color="auto" w:fill="FFFFFF"/>
          <w:lang w:val="en-US" w:eastAsia="zh-CN"/>
        </w:rPr>
        <w:t>”</w:t>
      </w:r>
      <w:r>
        <w:rPr>
          <w:rFonts w:hint="default" w:ascii="仿宋_GB2312" w:hAnsi="仿宋" w:eastAsia="仿宋_GB2312" w:cs="Times New Roman"/>
          <w:color w:val="000000"/>
          <w:kern w:val="0"/>
          <w:sz w:val="32"/>
          <w:szCs w:val="32"/>
          <w:shd w:val="clear" w:color="auto" w:fill="FFFFFF"/>
          <w:lang w:val="en-US" w:eastAsia="zh-CN"/>
        </w:rPr>
        <w:t>医疗机构主要指标进展情况</w:t>
      </w:r>
      <w:r>
        <w:rPr>
          <w:rFonts w:hint="eastAsia" w:ascii="仿宋_GB2312" w:hAnsi="仿宋" w:eastAsia="仿宋_GB2312" w:cs="Times New Roman"/>
          <w:color w:val="000000"/>
          <w:kern w:val="0"/>
          <w:sz w:val="32"/>
          <w:szCs w:val="32"/>
          <w:shd w:val="clear" w:color="auto" w:fill="FFFFFF"/>
          <w:lang w:val="en-US" w:eastAsia="zh-CN"/>
        </w:rPr>
        <w:t>，最后就十四五期间面临的重要窗口期发展机遇和挑战进行了阐述。</w:t>
      </w:r>
    </w:p>
    <w:p>
      <w:pPr>
        <w:numPr>
          <w:ilvl w:val="0"/>
          <w:numId w:val="2"/>
        </w:numPr>
        <w:spacing w:line="360" w:lineRule="auto"/>
        <w:ind w:firstLine="643" w:firstLineChars="200"/>
        <w:outlineLvl w:val="1"/>
        <w:rPr>
          <w:rFonts w:hint="default" w:ascii="仿宋_GB2312" w:hAnsi="仿宋"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b/>
          <w:bCs/>
          <w:color w:val="000000"/>
          <w:kern w:val="0"/>
          <w:sz w:val="32"/>
          <w:szCs w:val="32"/>
          <w:shd w:val="clear" w:color="auto" w:fill="FFFFFF"/>
          <w:lang w:val="en-US" w:eastAsia="zh-CN"/>
        </w:rPr>
        <w:t>总体思路</w:t>
      </w:r>
      <w:r>
        <w:rPr>
          <w:rFonts w:hint="eastAsia" w:ascii="Times New Roman" w:hAnsi="Times New Roman" w:eastAsia="仿宋_GB2312" w:cs="Times New Roman"/>
          <w:b/>
          <w:bCs/>
          <w:color w:val="000000"/>
          <w:kern w:val="0"/>
          <w:sz w:val="32"/>
          <w:szCs w:val="32"/>
          <w:shd w:val="clear" w:color="auto" w:fill="FFFFFF"/>
          <w:lang w:val="en-US" w:eastAsia="zh-CN"/>
        </w:rPr>
        <w:t>。</w:t>
      </w:r>
      <w:r>
        <w:rPr>
          <w:rFonts w:hint="default" w:ascii="仿宋_GB2312" w:hAnsi="仿宋" w:eastAsia="仿宋_GB2312" w:cs="Times New Roman"/>
          <w:color w:val="000000"/>
          <w:kern w:val="0"/>
          <w:sz w:val="32"/>
          <w:szCs w:val="32"/>
          <w:shd w:val="clear" w:color="auto" w:fill="FFFFFF"/>
          <w:lang w:val="en-US" w:eastAsia="zh-CN"/>
        </w:rPr>
        <w:t>包括指导思想、基本原则、发展目标和主要指标。</w:t>
      </w:r>
      <w:bookmarkStart w:id="12" w:name="OLE_LINK6"/>
      <w:r>
        <w:rPr>
          <w:rFonts w:hint="eastAsia" w:ascii="仿宋_GB2312" w:hAnsi="仿宋" w:eastAsia="仿宋_GB2312" w:cs="Times New Roman"/>
          <w:color w:val="000000"/>
          <w:kern w:val="0"/>
          <w:sz w:val="32"/>
          <w:szCs w:val="32"/>
          <w:shd w:val="clear" w:color="auto" w:fill="FFFFFF"/>
          <w:lang w:val="en-US" w:eastAsia="zh-CN"/>
        </w:rPr>
        <w:t>《十四五规划》</w:t>
      </w:r>
      <w:bookmarkEnd w:id="12"/>
      <w:r>
        <w:rPr>
          <w:rFonts w:hint="default" w:ascii="仿宋_GB2312" w:hAnsi="仿宋" w:eastAsia="仿宋_GB2312" w:cs="Times New Roman"/>
          <w:color w:val="000000"/>
          <w:kern w:val="0"/>
          <w:sz w:val="32"/>
          <w:szCs w:val="32"/>
          <w:shd w:val="clear" w:color="auto" w:fill="FFFFFF"/>
          <w:lang w:val="en-US" w:eastAsia="zh-CN"/>
        </w:rPr>
        <w:t>以习近平新时代中国特色社会主义思想为指导，坚持以人为本、公平共享，坚持平</w:t>
      </w:r>
      <w:r>
        <w:rPr>
          <w:rFonts w:hint="eastAsia" w:ascii="仿宋_GB2312" w:hAnsi="仿宋" w:eastAsia="仿宋_GB2312" w:cs="Times New Roman"/>
          <w:color w:val="000000"/>
          <w:kern w:val="0"/>
          <w:sz w:val="32"/>
          <w:szCs w:val="32"/>
          <w:shd w:val="clear" w:color="auto" w:fill="FFFFFF"/>
          <w:lang w:val="en-US" w:eastAsia="zh-CN"/>
        </w:rPr>
        <w:t>急</w:t>
      </w:r>
      <w:r>
        <w:rPr>
          <w:rFonts w:hint="default" w:ascii="仿宋_GB2312" w:hAnsi="仿宋" w:eastAsia="仿宋_GB2312" w:cs="Times New Roman"/>
          <w:color w:val="000000"/>
          <w:kern w:val="0"/>
          <w:sz w:val="32"/>
          <w:szCs w:val="32"/>
          <w:shd w:val="clear" w:color="auto" w:fill="FFFFFF"/>
          <w:lang w:val="en-US" w:eastAsia="zh-CN"/>
        </w:rPr>
        <w:t>结合，急慢并重，坚持科学布局，统筹兼顾，坚持合理分工、突出重点，坚持政府主导、深化改革的基本原则。以调整存量、优化增量、提高质量为主线，以深化改革、整合资源、多元办医为动力，合理布局医疗卫生资源，形成以县级医院为龙头、社区卫生服务中心（乡镇卫生院）为枢纽、社区卫生服务站（村卫生室）为网底、社会办医疗机构为有效补充的立体式、多元式医疗卫生服务体系建设。到2025年，县域范围内就诊率和基层首诊率显著提高，我市居民主要健康指标达到温州市</w:t>
      </w:r>
      <w:r>
        <w:rPr>
          <w:rFonts w:hint="eastAsia" w:ascii="仿宋_GB2312" w:hAnsi="仿宋" w:eastAsia="仿宋_GB2312" w:cs="Times New Roman"/>
          <w:color w:val="000000"/>
          <w:kern w:val="0"/>
          <w:sz w:val="32"/>
          <w:szCs w:val="32"/>
          <w:shd w:val="clear" w:color="auto" w:fill="FFFFFF"/>
          <w:lang w:val="en-US" w:eastAsia="zh-CN"/>
        </w:rPr>
        <w:t>各县（市、区）</w:t>
      </w:r>
      <w:r>
        <w:rPr>
          <w:rFonts w:hint="default" w:ascii="仿宋_GB2312" w:hAnsi="仿宋" w:eastAsia="仿宋_GB2312" w:cs="Times New Roman"/>
          <w:color w:val="000000"/>
          <w:kern w:val="0"/>
          <w:sz w:val="32"/>
          <w:szCs w:val="32"/>
          <w:shd w:val="clear" w:color="auto" w:fill="FFFFFF"/>
          <w:lang w:val="en-US" w:eastAsia="zh-CN"/>
        </w:rPr>
        <w:t>的领先水平。同时明确了2025年乐清市医疗卫生服务体系资源要素配置主要指标。</w:t>
      </w:r>
    </w:p>
    <w:tbl>
      <w:tblPr>
        <w:tblStyle w:val="20"/>
        <w:tblW w:w="9504" w:type="dxa"/>
        <w:jc w:val="center"/>
        <w:tblLayout w:type="fixed"/>
        <w:tblCellMar>
          <w:top w:w="0" w:type="dxa"/>
          <w:left w:w="0" w:type="dxa"/>
          <w:bottom w:w="0" w:type="dxa"/>
          <w:right w:w="0" w:type="dxa"/>
        </w:tblCellMar>
      </w:tblPr>
      <w:tblGrid>
        <w:gridCol w:w="4623"/>
        <w:gridCol w:w="1866"/>
        <w:gridCol w:w="1866"/>
        <w:gridCol w:w="1149"/>
      </w:tblGrid>
      <w:tr>
        <w:tblPrEx>
          <w:tblCellMar>
            <w:top w:w="0" w:type="dxa"/>
            <w:left w:w="0" w:type="dxa"/>
            <w:bottom w:w="0" w:type="dxa"/>
            <w:right w:w="0" w:type="dxa"/>
          </w:tblCellMar>
        </w:tblPrEx>
        <w:trPr>
          <w:trHeight w:val="528" w:hRule="atLeast"/>
          <w:jc w:val="center"/>
        </w:trPr>
        <w:tc>
          <w:tcPr>
            <w:tcW w:w="4623" w:type="dxa"/>
            <w:tcBorders>
              <w:top w:val="single" w:color="auto" w:sz="4" w:space="0"/>
              <w:left w:val="single" w:color="auto" w:sz="4" w:space="0"/>
              <w:bottom w:val="inset" w:color="000000" w:sz="6" w:space="0"/>
              <w:right w:val="inset" w:color="000000" w:sz="6"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b/>
                <w:sz w:val="24"/>
                <w:szCs w:val="24"/>
              </w:rPr>
            </w:pPr>
            <w:bookmarkStart w:id="13" w:name="OLE_LINK29"/>
            <w:r>
              <w:rPr>
                <w:rFonts w:hint="default" w:ascii="Times New Roman" w:hAnsi="Times New Roman" w:eastAsia="仿宋" w:cs="Times New Roman"/>
                <w:b/>
                <w:sz w:val="24"/>
                <w:szCs w:val="24"/>
              </w:rPr>
              <w:t>主要指标</w:t>
            </w:r>
          </w:p>
        </w:tc>
        <w:tc>
          <w:tcPr>
            <w:tcW w:w="1866" w:type="dxa"/>
            <w:tcBorders>
              <w:top w:val="single" w:color="auto" w:sz="4" w:space="0"/>
              <w:left w:val="nil"/>
              <w:bottom w:val="inset" w:color="000000" w:sz="6" w:space="0"/>
              <w:right w:val="inset" w:color="000000" w:sz="6"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2020年现状</w:t>
            </w:r>
          </w:p>
        </w:tc>
        <w:tc>
          <w:tcPr>
            <w:tcW w:w="1866" w:type="dxa"/>
            <w:tcBorders>
              <w:top w:val="single" w:color="auto" w:sz="4" w:space="0"/>
              <w:left w:val="nil"/>
              <w:bottom w:val="inset" w:color="000000" w:sz="6" w:space="0"/>
              <w:right w:val="inset" w:color="000000" w:sz="6"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2025年目标</w:t>
            </w:r>
          </w:p>
        </w:tc>
        <w:tc>
          <w:tcPr>
            <w:tcW w:w="1149" w:type="dxa"/>
            <w:tcBorders>
              <w:top w:val="single" w:color="auto" w:sz="4" w:space="0"/>
              <w:left w:val="nil"/>
              <w:bottom w:val="inset" w:color="000000" w:sz="6" w:space="0"/>
              <w:right w:val="single" w:color="auto" w:sz="4"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指标性质</w:t>
            </w:r>
          </w:p>
        </w:tc>
      </w:tr>
      <w:tr>
        <w:tblPrEx>
          <w:tblCellMar>
            <w:top w:w="0" w:type="dxa"/>
            <w:left w:w="0" w:type="dxa"/>
            <w:bottom w:w="0" w:type="dxa"/>
            <w:right w:w="0" w:type="dxa"/>
          </w:tblCellMar>
        </w:tblPrEx>
        <w:trPr>
          <w:trHeight w:val="533" w:hRule="atLeast"/>
          <w:jc w:val="center"/>
        </w:trPr>
        <w:tc>
          <w:tcPr>
            <w:tcW w:w="4623" w:type="dxa"/>
            <w:tcBorders>
              <w:top w:val="inset" w:color="000000" w:sz="6" w:space="0"/>
              <w:left w:val="single" w:color="auto" w:sz="4" w:space="0"/>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kern w:val="0"/>
                <w:sz w:val="24"/>
              </w:rPr>
            </w:pPr>
            <w:r>
              <w:rPr>
                <w:rFonts w:hint="default" w:ascii="Times New Roman" w:hAnsi="Times New Roman" w:eastAsia="仿宋"/>
                <w:kern w:val="0"/>
                <w:sz w:val="24"/>
              </w:rPr>
              <w:t>每千常住人口医疗卫生机构床位数（张）</w:t>
            </w:r>
          </w:p>
        </w:tc>
        <w:tc>
          <w:tcPr>
            <w:tcW w:w="1866" w:type="dxa"/>
            <w:tcBorders>
              <w:top w:val="inset" w:color="000000" w:sz="6" w:space="0"/>
              <w:left w:val="nil"/>
              <w:bottom w:val="inset" w:color="000000" w:sz="6" w:space="0"/>
              <w:right w:val="inset" w:color="000000" w:sz="6" w:space="0"/>
            </w:tcBorders>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sz w:val="24"/>
              </w:rPr>
              <w:t>3.</w:t>
            </w:r>
            <w:r>
              <w:rPr>
                <w:rFonts w:hint="eastAsia" w:ascii="Times New Roman" w:hAnsi="Times New Roman" w:eastAsia="仿宋"/>
                <w:sz w:val="24"/>
              </w:rPr>
              <w:t>49</w:t>
            </w:r>
          </w:p>
        </w:tc>
        <w:tc>
          <w:tcPr>
            <w:tcW w:w="1866" w:type="dxa"/>
            <w:tcBorders>
              <w:top w:val="inset" w:color="000000" w:sz="6" w:space="0"/>
              <w:left w:val="nil"/>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kern w:val="0"/>
                <w:sz w:val="24"/>
                <w:lang w:val="en-US"/>
              </w:rPr>
            </w:pPr>
            <w:r>
              <w:rPr>
                <w:rFonts w:hint="eastAsia" w:ascii="Times New Roman" w:hAnsi="Times New Roman" w:eastAsia="仿宋"/>
                <w:kern w:val="0"/>
                <w:sz w:val="24"/>
                <w:highlight w:val="none"/>
                <w:lang w:val="en-US" w:eastAsia="zh-CN"/>
              </w:rPr>
              <w:t>4.50</w:t>
            </w:r>
          </w:p>
        </w:tc>
        <w:tc>
          <w:tcPr>
            <w:tcW w:w="1149" w:type="dxa"/>
            <w:tcBorders>
              <w:top w:val="inset" w:color="000000" w:sz="6" w:space="0"/>
              <w:left w:val="nil"/>
              <w:bottom w:val="inset" w:color="000000"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kern w:val="0"/>
                <w:sz w:val="24"/>
              </w:rPr>
            </w:pPr>
            <w:r>
              <w:rPr>
                <w:rFonts w:hint="default" w:ascii="Times New Roman" w:hAnsi="Times New Roman" w:eastAsia="仿宋"/>
                <w:kern w:val="0"/>
                <w:sz w:val="24"/>
              </w:rPr>
              <w:t>指导性</w:t>
            </w:r>
          </w:p>
        </w:tc>
      </w:tr>
      <w:tr>
        <w:tblPrEx>
          <w:tblCellMar>
            <w:top w:w="0" w:type="dxa"/>
            <w:left w:w="0" w:type="dxa"/>
            <w:bottom w:w="0" w:type="dxa"/>
            <w:right w:w="0" w:type="dxa"/>
          </w:tblCellMar>
        </w:tblPrEx>
        <w:trPr>
          <w:trHeight w:val="649" w:hRule="atLeast"/>
          <w:jc w:val="center"/>
        </w:trPr>
        <w:tc>
          <w:tcPr>
            <w:tcW w:w="4623" w:type="dxa"/>
            <w:tcBorders>
              <w:top w:val="inset" w:color="000000" w:sz="6" w:space="0"/>
              <w:left w:val="single" w:color="auto" w:sz="4" w:space="0"/>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kern w:val="0"/>
                <w:sz w:val="24"/>
              </w:rPr>
            </w:pPr>
            <w:bookmarkStart w:id="14" w:name="OLE_LINK20"/>
            <w:r>
              <w:rPr>
                <w:rFonts w:hint="default" w:ascii="Times New Roman" w:hAnsi="Times New Roman" w:eastAsia="仿宋"/>
                <w:color w:val="000000"/>
                <w:kern w:val="0"/>
                <w:sz w:val="24"/>
              </w:rPr>
              <w:t>每千名老年人拥有医疗卫生机构</w:t>
            </w:r>
          </w:p>
          <w:p>
            <w:pPr>
              <w:keepNext w:val="0"/>
              <w:keepLines w:val="0"/>
              <w:widowControl/>
              <w:suppressLineNumbers w:val="0"/>
              <w:spacing w:before="0" w:beforeAutospacing="0" w:after="0" w:afterAutospacing="0"/>
              <w:ind w:left="0" w:right="0"/>
              <w:jc w:val="center"/>
              <w:rPr>
                <w:rFonts w:hint="default" w:ascii="Times New Roman" w:hAnsi="Times New Roman" w:eastAsia="仿宋"/>
                <w:kern w:val="0"/>
                <w:sz w:val="24"/>
              </w:rPr>
            </w:pPr>
            <w:r>
              <w:rPr>
                <w:rFonts w:hint="default" w:ascii="Times New Roman" w:hAnsi="Times New Roman" w:eastAsia="仿宋"/>
                <w:color w:val="000000"/>
                <w:kern w:val="0"/>
                <w:sz w:val="24"/>
              </w:rPr>
              <w:t>康复护理床位</w:t>
            </w:r>
            <w:r>
              <w:rPr>
                <w:rFonts w:hint="eastAsia" w:ascii="Times New Roman" w:hAnsi="Times New Roman" w:eastAsia="仿宋"/>
                <w:color w:val="000000"/>
                <w:kern w:val="0"/>
                <w:sz w:val="24"/>
              </w:rPr>
              <w:t>数</w:t>
            </w:r>
            <w:bookmarkEnd w:id="14"/>
            <w:r>
              <w:rPr>
                <w:rFonts w:hint="default" w:ascii="Times New Roman" w:hAnsi="Times New Roman" w:eastAsia="仿宋"/>
                <w:kern w:val="0"/>
                <w:sz w:val="24"/>
              </w:rPr>
              <w:t>（张）</w:t>
            </w:r>
          </w:p>
        </w:tc>
        <w:tc>
          <w:tcPr>
            <w:tcW w:w="1866" w:type="dxa"/>
            <w:tcBorders>
              <w:top w:val="inset" w:color="000000" w:sz="6" w:space="0"/>
              <w:left w:val="nil"/>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kern w:val="0"/>
                <w:sz w:val="24"/>
                <w:lang w:val="en-US" w:eastAsia="zh-CN"/>
              </w:rPr>
            </w:pPr>
            <w:r>
              <w:rPr>
                <w:rFonts w:hint="eastAsia" w:ascii="Times New Roman" w:hAnsi="Times New Roman" w:eastAsia="仿宋"/>
                <w:kern w:val="0"/>
                <w:sz w:val="24"/>
                <w:lang w:val="en-US" w:eastAsia="zh-CN"/>
              </w:rPr>
              <w:t>4.10</w:t>
            </w:r>
          </w:p>
        </w:tc>
        <w:tc>
          <w:tcPr>
            <w:tcW w:w="1866" w:type="dxa"/>
            <w:tcBorders>
              <w:top w:val="inset" w:color="000000" w:sz="6" w:space="0"/>
              <w:left w:val="nil"/>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kern w:val="0"/>
                <w:sz w:val="24"/>
              </w:rPr>
            </w:pPr>
            <w:r>
              <w:rPr>
                <w:rFonts w:hint="eastAsia" w:ascii="Times New Roman" w:hAnsi="Times New Roman" w:eastAsia="仿宋"/>
                <w:kern w:val="0"/>
                <w:sz w:val="24"/>
                <w:highlight w:val="none"/>
                <w:lang w:val="en-US" w:eastAsia="zh-CN"/>
              </w:rPr>
              <w:t>5.50</w:t>
            </w:r>
          </w:p>
        </w:tc>
        <w:tc>
          <w:tcPr>
            <w:tcW w:w="1149" w:type="dxa"/>
            <w:tcBorders>
              <w:top w:val="inset" w:color="000000" w:sz="6" w:space="0"/>
              <w:left w:val="nil"/>
              <w:bottom w:val="inset" w:color="000000"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kern w:val="0"/>
                <w:sz w:val="24"/>
              </w:rPr>
            </w:pPr>
            <w:r>
              <w:rPr>
                <w:rFonts w:hint="default" w:ascii="Times New Roman" w:hAnsi="Times New Roman" w:eastAsia="仿宋"/>
                <w:kern w:val="0"/>
                <w:sz w:val="24"/>
              </w:rPr>
              <w:t>指导性</w:t>
            </w:r>
          </w:p>
        </w:tc>
      </w:tr>
      <w:tr>
        <w:tblPrEx>
          <w:tblCellMar>
            <w:top w:w="0" w:type="dxa"/>
            <w:left w:w="0" w:type="dxa"/>
            <w:bottom w:w="0" w:type="dxa"/>
            <w:right w:w="0" w:type="dxa"/>
          </w:tblCellMar>
        </w:tblPrEx>
        <w:trPr>
          <w:trHeight w:val="533" w:hRule="atLeast"/>
          <w:jc w:val="center"/>
        </w:trPr>
        <w:tc>
          <w:tcPr>
            <w:tcW w:w="4623" w:type="dxa"/>
            <w:tcBorders>
              <w:top w:val="inset" w:color="000000" w:sz="6" w:space="0"/>
              <w:left w:val="single" w:color="auto" w:sz="4" w:space="0"/>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sz w:val="24"/>
              </w:rPr>
            </w:pPr>
            <w:r>
              <w:rPr>
                <w:rFonts w:hint="default" w:ascii="Times New Roman" w:hAnsi="Times New Roman" w:eastAsia="仿宋"/>
                <w:kern w:val="0"/>
                <w:sz w:val="24"/>
              </w:rPr>
              <w:t>每千人拥有婴幼儿照护设施托位(张)</w:t>
            </w:r>
          </w:p>
        </w:tc>
        <w:tc>
          <w:tcPr>
            <w:tcW w:w="1866" w:type="dxa"/>
            <w:tcBorders>
              <w:top w:val="inset" w:color="000000" w:sz="6" w:space="0"/>
              <w:left w:val="nil"/>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kern w:val="0"/>
                <w:sz w:val="24"/>
                <w:lang w:val="en-US" w:eastAsia="zh-CN"/>
              </w:rPr>
            </w:pPr>
            <w:r>
              <w:rPr>
                <w:rFonts w:hint="eastAsia" w:ascii="Times New Roman" w:hAnsi="Times New Roman" w:eastAsia="仿宋"/>
                <w:kern w:val="0"/>
                <w:sz w:val="24"/>
                <w:lang w:val="en-US" w:eastAsia="zh-CN"/>
              </w:rPr>
              <w:t>2.50</w:t>
            </w:r>
          </w:p>
        </w:tc>
        <w:tc>
          <w:tcPr>
            <w:tcW w:w="1866" w:type="dxa"/>
            <w:tcBorders>
              <w:top w:val="inset" w:color="000000" w:sz="6" w:space="0"/>
              <w:left w:val="nil"/>
              <w:bottom w:val="inset" w:color="000000" w:sz="6" w:space="0"/>
              <w:right w:val="inset" w:color="000000" w:sz="6"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4.50</w:t>
            </w:r>
          </w:p>
        </w:tc>
        <w:tc>
          <w:tcPr>
            <w:tcW w:w="1149" w:type="dxa"/>
            <w:tcBorders>
              <w:top w:val="inset" w:color="000000" w:sz="6" w:space="0"/>
              <w:left w:val="nil"/>
              <w:bottom w:val="inset" w:color="000000" w:sz="6" w:space="0"/>
              <w:right w:val="single" w:color="auto" w:sz="4"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指导性</w:t>
            </w:r>
          </w:p>
        </w:tc>
      </w:tr>
      <w:tr>
        <w:tblPrEx>
          <w:tblCellMar>
            <w:top w:w="0" w:type="dxa"/>
            <w:left w:w="0" w:type="dxa"/>
            <w:bottom w:w="0" w:type="dxa"/>
            <w:right w:w="0" w:type="dxa"/>
          </w:tblCellMar>
        </w:tblPrEx>
        <w:trPr>
          <w:trHeight w:val="533" w:hRule="atLeast"/>
          <w:jc w:val="center"/>
        </w:trPr>
        <w:tc>
          <w:tcPr>
            <w:tcW w:w="4623" w:type="dxa"/>
            <w:tcBorders>
              <w:top w:val="inset" w:color="000000" w:sz="6" w:space="0"/>
              <w:left w:val="single" w:color="auto" w:sz="4" w:space="0"/>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sz w:val="24"/>
              </w:rPr>
            </w:pPr>
            <w:r>
              <w:rPr>
                <w:rFonts w:hint="default" w:ascii="Times New Roman" w:hAnsi="Times New Roman" w:eastAsia="仿宋_GB2312"/>
                <w:color w:val="000000"/>
                <w:kern w:val="0"/>
                <w:sz w:val="24"/>
              </w:rPr>
              <w:t>每千常住人口执业（助理）医师数（人）</w:t>
            </w:r>
          </w:p>
        </w:tc>
        <w:tc>
          <w:tcPr>
            <w:tcW w:w="1866" w:type="dxa"/>
            <w:tcBorders>
              <w:top w:val="inset" w:color="000000" w:sz="6" w:space="0"/>
              <w:left w:val="nil"/>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2.98</w:t>
            </w:r>
          </w:p>
        </w:tc>
        <w:tc>
          <w:tcPr>
            <w:tcW w:w="1866" w:type="dxa"/>
            <w:tcBorders>
              <w:top w:val="inset" w:color="000000" w:sz="6" w:space="0"/>
              <w:left w:val="nil"/>
              <w:bottom w:val="inset" w:color="000000" w:sz="6" w:space="0"/>
              <w:right w:val="inset" w:color="000000" w:sz="6"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eastAsia" w:ascii="Times New Roman" w:hAnsi="Times New Roman" w:eastAsia="仿宋" w:cs="Times New Roman"/>
                <w:sz w:val="24"/>
                <w:szCs w:val="24"/>
                <w:highlight w:val="none"/>
                <w:lang w:val="en-US" w:eastAsia="zh-CN"/>
              </w:rPr>
              <w:t>3.80</w:t>
            </w:r>
          </w:p>
        </w:tc>
        <w:tc>
          <w:tcPr>
            <w:tcW w:w="1149" w:type="dxa"/>
            <w:tcBorders>
              <w:top w:val="inset" w:color="000000" w:sz="6" w:space="0"/>
              <w:left w:val="nil"/>
              <w:bottom w:val="inset" w:color="000000" w:sz="6" w:space="0"/>
              <w:right w:val="single" w:color="auto" w:sz="4"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指导性</w:t>
            </w:r>
          </w:p>
        </w:tc>
      </w:tr>
      <w:tr>
        <w:tblPrEx>
          <w:tblCellMar>
            <w:top w:w="0" w:type="dxa"/>
            <w:left w:w="0" w:type="dxa"/>
            <w:bottom w:w="0" w:type="dxa"/>
            <w:right w:w="0" w:type="dxa"/>
          </w:tblCellMar>
        </w:tblPrEx>
        <w:trPr>
          <w:trHeight w:val="533" w:hRule="atLeast"/>
          <w:jc w:val="center"/>
        </w:trPr>
        <w:tc>
          <w:tcPr>
            <w:tcW w:w="4623" w:type="dxa"/>
            <w:tcBorders>
              <w:top w:val="inset" w:color="000000" w:sz="6" w:space="0"/>
              <w:left w:val="single" w:color="auto" w:sz="4" w:space="0"/>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sz w:val="24"/>
              </w:rPr>
            </w:pPr>
            <w:r>
              <w:rPr>
                <w:rFonts w:hint="default" w:ascii="Times New Roman" w:hAnsi="Times New Roman" w:eastAsia="仿宋_GB2312"/>
                <w:color w:val="000000"/>
                <w:kern w:val="0"/>
                <w:sz w:val="24"/>
              </w:rPr>
              <w:t>每千常住人口注册护士数（</w:t>
            </w:r>
            <w:r>
              <w:rPr>
                <w:rFonts w:hint="default" w:ascii="Times New Roman" w:hAnsi="Times New Roman"/>
                <w:color w:val="000000"/>
                <w:kern w:val="0"/>
                <w:sz w:val="24"/>
              </w:rPr>
              <w:t>≥</w:t>
            </w:r>
            <w:r>
              <w:rPr>
                <w:rFonts w:hint="default" w:ascii="Times New Roman" w:hAnsi="Times New Roman" w:eastAsia="仿宋_GB2312"/>
                <w:color w:val="000000"/>
                <w:kern w:val="0"/>
                <w:sz w:val="24"/>
              </w:rPr>
              <w:t>人）</w:t>
            </w:r>
          </w:p>
        </w:tc>
        <w:tc>
          <w:tcPr>
            <w:tcW w:w="1866" w:type="dxa"/>
            <w:tcBorders>
              <w:top w:val="inset" w:color="000000" w:sz="6" w:space="0"/>
              <w:left w:val="nil"/>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2.50</w:t>
            </w:r>
          </w:p>
        </w:tc>
        <w:tc>
          <w:tcPr>
            <w:tcW w:w="1866" w:type="dxa"/>
            <w:tcBorders>
              <w:top w:val="inset" w:color="000000" w:sz="6" w:space="0"/>
              <w:left w:val="nil"/>
              <w:bottom w:val="inset" w:color="000000" w:sz="6" w:space="0"/>
              <w:right w:val="inset" w:color="000000" w:sz="6"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3.54</w:t>
            </w:r>
          </w:p>
        </w:tc>
        <w:tc>
          <w:tcPr>
            <w:tcW w:w="1149" w:type="dxa"/>
            <w:tcBorders>
              <w:top w:val="inset" w:color="000000" w:sz="6" w:space="0"/>
              <w:left w:val="nil"/>
              <w:bottom w:val="inset" w:color="000000" w:sz="6" w:space="0"/>
              <w:right w:val="single" w:color="auto" w:sz="4"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指导</w:t>
            </w:r>
            <w:r>
              <w:rPr>
                <w:rFonts w:hint="default" w:ascii="Times New Roman" w:hAnsi="Times New Roman" w:eastAsia="仿宋" w:cs="Times New Roman"/>
                <w:sz w:val="24"/>
                <w:szCs w:val="24"/>
              </w:rPr>
              <w:t>性</w:t>
            </w:r>
          </w:p>
        </w:tc>
      </w:tr>
      <w:tr>
        <w:tblPrEx>
          <w:tblCellMar>
            <w:top w:w="0" w:type="dxa"/>
            <w:left w:w="0" w:type="dxa"/>
            <w:bottom w:w="0" w:type="dxa"/>
            <w:right w:w="0" w:type="dxa"/>
          </w:tblCellMar>
        </w:tblPrEx>
        <w:trPr>
          <w:trHeight w:val="533" w:hRule="atLeast"/>
          <w:jc w:val="center"/>
        </w:trPr>
        <w:tc>
          <w:tcPr>
            <w:tcW w:w="4623" w:type="dxa"/>
            <w:tcBorders>
              <w:top w:val="inset" w:color="000000" w:sz="6" w:space="0"/>
              <w:left w:val="single" w:color="auto" w:sz="4" w:space="0"/>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sz w:val="24"/>
              </w:rPr>
            </w:pPr>
            <w:r>
              <w:rPr>
                <w:rFonts w:hint="default" w:ascii="Times New Roman" w:hAnsi="Times New Roman" w:eastAsia="仿宋_GB2312"/>
                <w:color w:val="000000"/>
                <w:kern w:val="0"/>
                <w:sz w:val="24"/>
              </w:rPr>
              <w:t>每万常住人口全科医生数（</w:t>
            </w:r>
            <w:r>
              <w:rPr>
                <w:rFonts w:hint="default" w:ascii="Times New Roman" w:hAnsi="Times New Roman"/>
                <w:color w:val="000000"/>
                <w:kern w:val="0"/>
                <w:sz w:val="24"/>
              </w:rPr>
              <w:t>≥</w:t>
            </w:r>
            <w:r>
              <w:rPr>
                <w:rFonts w:hint="default" w:ascii="Times New Roman" w:hAnsi="Times New Roman" w:eastAsia="仿宋_GB2312"/>
                <w:color w:val="000000"/>
                <w:kern w:val="0"/>
                <w:sz w:val="24"/>
              </w:rPr>
              <w:t>人）</w:t>
            </w:r>
          </w:p>
        </w:tc>
        <w:tc>
          <w:tcPr>
            <w:tcW w:w="1866" w:type="dxa"/>
            <w:tcBorders>
              <w:top w:val="inset" w:color="000000" w:sz="6" w:space="0"/>
              <w:left w:val="nil"/>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3.77</w:t>
            </w:r>
          </w:p>
        </w:tc>
        <w:tc>
          <w:tcPr>
            <w:tcW w:w="1866" w:type="dxa"/>
            <w:tcBorders>
              <w:top w:val="inset" w:color="000000" w:sz="6" w:space="0"/>
              <w:left w:val="nil"/>
              <w:bottom w:val="inset" w:color="000000" w:sz="6" w:space="0"/>
              <w:right w:val="inset" w:color="000000" w:sz="6"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4.50</w:t>
            </w:r>
          </w:p>
        </w:tc>
        <w:tc>
          <w:tcPr>
            <w:tcW w:w="1149" w:type="dxa"/>
            <w:tcBorders>
              <w:top w:val="inset" w:color="000000" w:sz="6" w:space="0"/>
              <w:left w:val="nil"/>
              <w:bottom w:val="inset" w:color="000000" w:sz="6" w:space="0"/>
              <w:right w:val="single" w:color="auto" w:sz="4"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指导</w:t>
            </w:r>
            <w:r>
              <w:rPr>
                <w:rFonts w:hint="default" w:ascii="Times New Roman" w:hAnsi="Times New Roman" w:eastAsia="仿宋" w:cs="Times New Roman"/>
                <w:sz w:val="24"/>
                <w:szCs w:val="24"/>
              </w:rPr>
              <w:t>性</w:t>
            </w:r>
          </w:p>
        </w:tc>
      </w:tr>
      <w:tr>
        <w:tblPrEx>
          <w:tblCellMar>
            <w:top w:w="0" w:type="dxa"/>
            <w:left w:w="0" w:type="dxa"/>
            <w:bottom w:w="0" w:type="dxa"/>
            <w:right w:w="0" w:type="dxa"/>
          </w:tblCellMar>
        </w:tblPrEx>
        <w:trPr>
          <w:trHeight w:val="533" w:hRule="atLeast"/>
          <w:jc w:val="center"/>
        </w:trPr>
        <w:tc>
          <w:tcPr>
            <w:tcW w:w="4623" w:type="dxa"/>
            <w:tcBorders>
              <w:top w:val="inset" w:color="000000" w:sz="6" w:space="0"/>
              <w:left w:val="single" w:color="auto" w:sz="4" w:space="0"/>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sz w:val="24"/>
              </w:rPr>
            </w:pPr>
            <w:r>
              <w:rPr>
                <w:rFonts w:hint="default" w:ascii="Times New Roman" w:hAnsi="Times New Roman" w:eastAsia="仿宋_GB2312"/>
                <w:color w:val="000000"/>
                <w:kern w:val="0"/>
                <w:sz w:val="24"/>
              </w:rPr>
              <w:t>医护比</w:t>
            </w:r>
          </w:p>
        </w:tc>
        <w:tc>
          <w:tcPr>
            <w:tcW w:w="1866" w:type="dxa"/>
            <w:tcBorders>
              <w:top w:val="inset" w:color="000000" w:sz="6" w:space="0"/>
              <w:left w:val="nil"/>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1.00 : 0.84</w:t>
            </w:r>
          </w:p>
        </w:tc>
        <w:tc>
          <w:tcPr>
            <w:tcW w:w="1866" w:type="dxa"/>
            <w:tcBorders>
              <w:top w:val="inset" w:color="000000" w:sz="6" w:space="0"/>
              <w:left w:val="nil"/>
              <w:bottom w:val="inset" w:color="000000" w:sz="6" w:space="0"/>
              <w:right w:val="inset" w:color="000000" w:sz="6"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cs="Times New Roman"/>
                <w:color w:val="000000"/>
                <w:sz w:val="24"/>
                <w:szCs w:val="24"/>
              </w:rPr>
              <w:t>1.00</w:t>
            </w:r>
            <w:r>
              <w:rPr>
                <w:rFonts w:hint="eastAsia"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w:t>
            </w:r>
            <w:r>
              <w:rPr>
                <w:rFonts w:hint="eastAsia" w:ascii="Times New Roman" w:hAnsi="Times New Roman" w:cs="Times New Roman"/>
                <w:color w:val="000000"/>
                <w:sz w:val="24"/>
                <w:szCs w:val="24"/>
                <w:lang w:val="en-US" w:eastAsia="zh-CN"/>
              </w:rPr>
              <w:t xml:space="preserve"> 0.93</w:t>
            </w:r>
          </w:p>
        </w:tc>
        <w:tc>
          <w:tcPr>
            <w:tcW w:w="1149" w:type="dxa"/>
            <w:tcBorders>
              <w:top w:val="inset" w:color="000000" w:sz="6" w:space="0"/>
              <w:left w:val="nil"/>
              <w:bottom w:val="inset" w:color="000000"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sz w:val="24"/>
              </w:rPr>
            </w:pPr>
            <w:r>
              <w:rPr>
                <w:rFonts w:hint="default" w:ascii="Times New Roman" w:hAnsi="Times New Roman" w:eastAsia="仿宋_GB2312"/>
                <w:color w:val="000000"/>
                <w:kern w:val="0"/>
                <w:sz w:val="24"/>
              </w:rPr>
              <w:t>指导性</w:t>
            </w:r>
          </w:p>
        </w:tc>
      </w:tr>
      <w:tr>
        <w:tblPrEx>
          <w:tblCellMar>
            <w:top w:w="0" w:type="dxa"/>
            <w:left w:w="0" w:type="dxa"/>
            <w:bottom w:w="0" w:type="dxa"/>
            <w:right w:w="0" w:type="dxa"/>
          </w:tblCellMar>
        </w:tblPrEx>
        <w:trPr>
          <w:trHeight w:val="533" w:hRule="atLeast"/>
          <w:jc w:val="center"/>
        </w:trPr>
        <w:tc>
          <w:tcPr>
            <w:tcW w:w="4623" w:type="dxa"/>
            <w:tcBorders>
              <w:top w:val="inset" w:color="000000" w:sz="6" w:space="0"/>
              <w:left w:val="single" w:color="auto" w:sz="4" w:space="0"/>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床人比</w:t>
            </w:r>
          </w:p>
        </w:tc>
        <w:tc>
          <w:tcPr>
            <w:tcW w:w="1866" w:type="dxa"/>
            <w:tcBorders>
              <w:top w:val="inset" w:color="000000" w:sz="6" w:space="0"/>
              <w:left w:val="nil"/>
              <w:bottom w:val="inset" w:color="000000" w:sz="6" w:space="0"/>
              <w:right w:val="inset" w:color="000000" w:sz="6"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olor w:val="000000"/>
                <w:kern w:val="0"/>
                <w:sz w:val="24"/>
              </w:rPr>
              <w:t>1.00</w:t>
            </w:r>
            <w:r>
              <w:rPr>
                <w:rFonts w:hint="eastAsia" w:ascii="Times New Roman" w:hAnsi="Times New Roman" w:eastAsia="仿宋_GB2312"/>
                <w:color w:val="000000"/>
                <w:kern w:val="0"/>
                <w:sz w:val="24"/>
                <w:lang w:val="en-US" w:eastAsia="zh-CN"/>
              </w:rPr>
              <w:t xml:space="preserve"> </w:t>
            </w:r>
            <w:r>
              <w:rPr>
                <w:rFonts w:hint="eastAsia" w:ascii="Times New Roman" w:hAnsi="Times New Roman" w:eastAsia="仿宋_GB2312"/>
                <w:color w:val="000000"/>
                <w:kern w:val="0"/>
                <w:sz w:val="24"/>
              </w:rPr>
              <w:t>:</w:t>
            </w:r>
            <w:r>
              <w:rPr>
                <w:rFonts w:hint="eastAsia" w:ascii="Times New Roman" w:hAnsi="Times New Roman" w:eastAsia="仿宋_GB2312"/>
                <w:color w:val="000000"/>
                <w:kern w:val="0"/>
                <w:sz w:val="24"/>
                <w:lang w:val="en-US" w:eastAsia="zh-CN"/>
              </w:rPr>
              <w:t xml:space="preserve"> </w:t>
            </w:r>
            <w:r>
              <w:rPr>
                <w:rFonts w:hint="eastAsia" w:ascii="Times New Roman" w:hAnsi="Times New Roman" w:eastAsia="仿宋_GB2312"/>
                <w:color w:val="000000"/>
                <w:kern w:val="0"/>
                <w:sz w:val="24"/>
              </w:rPr>
              <w:t>1.85</w:t>
            </w:r>
          </w:p>
        </w:tc>
        <w:tc>
          <w:tcPr>
            <w:tcW w:w="1866" w:type="dxa"/>
            <w:tcBorders>
              <w:top w:val="inset" w:color="000000" w:sz="6" w:space="0"/>
              <w:left w:val="nil"/>
              <w:bottom w:val="inset" w:color="000000" w:sz="6" w:space="0"/>
              <w:right w:val="inset" w:color="000000" w:sz="6" w:space="0"/>
            </w:tcBorders>
            <w:vAlign w:val="center"/>
          </w:tcPr>
          <w:p>
            <w:pPr>
              <w:pStyle w:val="34"/>
              <w:keepNext w:val="0"/>
              <w:keepLines w:val="0"/>
              <w:suppressLineNumbers w:val="0"/>
              <w:spacing w:before="0" w:beforeAutospacing="0" w:after="0" w:afterAutospacing="0"/>
              <w:ind w:left="0" w:right="0"/>
              <w:jc w:val="center"/>
              <w:rPr>
                <w:rFonts w:hint="default" w:ascii="Times New Roman" w:hAnsi="Times New Roman" w:eastAsia="仿宋" w:cs="Times New Roman"/>
                <w:kern w:val="0"/>
                <w:sz w:val="24"/>
                <w:szCs w:val="24"/>
                <w:lang w:val="en-US" w:eastAsia="zh-CN" w:bidi="ar-SA"/>
              </w:rPr>
            </w:pPr>
            <w:r>
              <w:rPr>
                <w:rFonts w:hint="default" w:ascii="Times New Roman" w:hAnsi="Times New Roman" w:cs="Times New Roman"/>
                <w:color w:val="000000"/>
                <w:sz w:val="24"/>
                <w:szCs w:val="24"/>
              </w:rPr>
              <w:t>1.00</w:t>
            </w:r>
            <w:r>
              <w:rPr>
                <w:rFonts w:hint="eastAsia"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w:t>
            </w:r>
            <w:r>
              <w:rPr>
                <w:rFonts w:hint="eastAsia"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1.50</w:t>
            </w:r>
          </w:p>
        </w:tc>
        <w:tc>
          <w:tcPr>
            <w:tcW w:w="1149" w:type="dxa"/>
            <w:tcBorders>
              <w:top w:val="inset" w:color="000000" w:sz="6" w:space="0"/>
              <w:left w:val="nil"/>
              <w:bottom w:val="inset" w:color="000000"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指导性</w:t>
            </w:r>
          </w:p>
        </w:tc>
      </w:tr>
      <w:bookmarkEnd w:id="13"/>
    </w:tbl>
    <w:p>
      <w:pPr>
        <w:bidi w:val="0"/>
        <w:rPr>
          <w:rFonts w:hint="default"/>
          <w:lang w:val="en-US" w:eastAsia="zh-CN"/>
        </w:rPr>
      </w:pPr>
    </w:p>
    <w:p>
      <w:pPr>
        <w:numPr>
          <w:ilvl w:val="0"/>
          <w:numId w:val="2"/>
        </w:numPr>
        <w:spacing w:line="360" w:lineRule="auto"/>
        <w:ind w:left="0" w:leftChars="0" w:firstLine="643" w:firstLineChars="200"/>
        <w:outlineLvl w:val="1"/>
        <w:rPr>
          <w:rFonts w:hint="default" w:ascii="仿宋_GB2312" w:hAnsi="仿宋"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b/>
          <w:color w:val="000000"/>
          <w:kern w:val="0"/>
          <w:sz w:val="32"/>
          <w:szCs w:val="32"/>
          <w:shd w:val="clear" w:color="auto" w:fill="FFFFFF"/>
        </w:rPr>
        <w:t>机构设置与功能定位</w:t>
      </w:r>
      <w:r>
        <w:rPr>
          <w:rFonts w:hint="eastAsia" w:ascii="Times New Roman" w:hAnsi="Times New Roman" w:eastAsia="仿宋_GB2312" w:cs="Times New Roman"/>
          <w:b/>
          <w:color w:val="000000"/>
          <w:kern w:val="0"/>
          <w:sz w:val="32"/>
          <w:szCs w:val="32"/>
          <w:shd w:val="clear" w:color="auto" w:fill="FFFFFF"/>
          <w:lang w:eastAsia="zh-CN"/>
        </w:rPr>
        <w:t>。</w:t>
      </w:r>
      <w:r>
        <w:rPr>
          <w:rFonts w:hint="default" w:ascii="仿宋_GB2312" w:hAnsi="仿宋" w:eastAsia="仿宋_GB2312" w:cs="Times New Roman"/>
          <w:color w:val="000000"/>
          <w:kern w:val="0"/>
          <w:sz w:val="32"/>
          <w:szCs w:val="32"/>
          <w:shd w:val="clear" w:color="auto" w:fill="FFFFFF"/>
          <w:lang w:val="en-US" w:eastAsia="zh-CN"/>
        </w:rPr>
        <w:t>经过长期发展</w:t>
      </w:r>
      <w:r>
        <w:rPr>
          <w:rFonts w:hint="eastAsia" w:ascii="仿宋_GB2312" w:hAnsi="仿宋" w:eastAsia="仿宋_GB2312" w:cs="Times New Roman"/>
          <w:color w:val="000000"/>
          <w:kern w:val="0"/>
          <w:sz w:val="32"/>
          <w:szCs w:val="32"/>
          <w:shd w:val="clear" w:color="auto" w:fill="FFFFFF"/>
          <w:lang w:val="en-US" w:eastAsia="zh-CN"/>
        </w:rPr>
        <w:t>，</w:t>
      </w:r>
      <w:r>
        <w:rPr>
          <w:rFonts w:hint="default" w:ascii="仿宋_GB2312" w:hAnsi="仿宋" w:eastAsia="仿宋_GB2312" w:cs="Times New Roman"/>
          <w:color w:val="000000"/>
          <w:kern w:val="0"/>
          <w:sz w:val="32"/>
          <w:szCs w:val="32"/>
          <w:shd w:val="clear" w:color="auto" w:fill="FFFFFF"/>
          <w:lang w:val="en-US" w:eastAsia="zh-CN"/>
        </w:rPr>
        <w:t>我国已经建立了由医院、基层医疗卫生机构、专业公共卫生机构等组成的覆盖城乡的医疗卫生服务体系，</w:t>
      </w:r>
      <w:bookmarkStart w:id="15" w:name="OLE_LINK8"/>
      <w:r>
        <w:rPr>
          <w:rFonts w:hint="eastAsia" w:ascii="仿宋_GB2312" w:hAnsi="仿宋" w:eastAsia="仿宋_GB2312" w:cs="Times New Roman"/>
          <w:color w:val="000000"/>
          <w:kern w:val="0"/>
          <w:sz w:val="32"/>
          <w:szCs w:val="32"/>
          <w:shd w:val="clear" w:color="auto" w:fill="FFFFFF"/>
          <w:lang w:val="en-US" w:eastAsia="zh-CN"/>
        </w:rPr>
        <w:t>《十四五规划》</w:t>
      </w:r>
      <w:bookmarkEnd w:id="15"/>
      <w:r>
        <w:rPr>
          <w:rFonts w:hint="default" w:ascii="仿宋_GB2312" w:hAnsi="仿宋" w:eastAsia="仿宋_GB2312" w:cs="Times New Roman"/>
          <w:color w:val="000000"/>
          <w:kern w:val="0"/>
          <w:sz w:val="32"/>
          <w:szCs w:val="32"/>
          <w:shd w:val="clear" w:color="auto" w:fill="FFFFFF"/>
          <w:lang w:val="en-US" w:eastAsia="zh-CN"/>
        </w:rPr>
        <w:t>针对各级各类医疗卫生机构明确其功能定位，坚持以非营利性医疗卫生机构为主体、营利性医疗卫生机构为补充，面向全人群，提供疾病预防、治疗、康复、健康促进等生命全周期、全过程服务。</w:t>
      </w:r>
    </w:p>
    <w:p>
      <w:pPr>
        <w:numPr>
          <w:ilvl w:val="0"/>
          <w:numId w:val="2"/>
        </w:numPr>
        <w:spacing w:line="360" w:lineRule="auto"/>
        <w:ind w:left="0" w:leftChars="0" w:firstLine="643" w:firstLineChars="200"/>
        <w:outlineLvl w:val="1"/>
        <w:rPr>
          <w:rFonts w:hint="default" w:ascii="仿宋_GB2312" w:hAnsi="仿宋"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b/>
          <w:color w:val="000000"/>
          <w:kern w:val="0"/>
          <w:sz w:val="32"/>
          <w:szCs w:val="32"/>
          <w:shd w:val="clear" w:color="auto" w:fill="FFFFFF"/>
        </w:rPr>
        <w:t>主要卫生资源配置</w:t>
      </w:r>
      <w:bookmarkStart w:id="16" w:name="OLE_LINK9"/>
      <w:bookmarkStart w:id="17" w:name="OLE_LINK12"/>
      <w:r>
        <w:rPr>
          <w:rFonts w:hint="eastAsia" w:ascii="Times New Roman" w:hAnsi="Times New Roman" w:eastAsia="仿宋_GB2312" w:cs="Times New Roman"/>
          <w:b/>
          <w:color w:val="000000"/>
          <w:kern w:val="0"/>
          <w:sz w:val="32"/>
          <w:szCs w:val="32"/>
          <w:shd w:val="clear" w:color="auto" w:fill="FFFFFF"/>
          <w:lang w:eastAsia="zh-CN"/>
        </w:rPr>
        <w:t>。</w:t>
      </w:r>
      <w:r>
        <w:rPr>
          <w:rFonts w:hint="default" w:ascii="仿宋_GB2312" w:hAnsi="仿宋" w:eastAsia="仿宋_GB2312" w:cs="Times New Roman"/>
          <w:color w:val="000000"/>
          <w:kern w:val="0"/>
          <w:sz w:val="32"/>
          <w:szCs w:val="32"/>
          <w:shd w:val="clear" w:color="auto" w:fill="FFFFFF"/>
          <w:lang w:val="en-US" w:eastAsia="zh-CN"/>
        </w:rPr>
        <w:t>《</w:t>
      </w:r>
      <w:r>
        <w:rPr>
          <w:rFonts w:hint="eastAsia" w:ascii="仿宋_GB2312" w:hAnsi="仿宋" w:eastAsia="仿宋_GB2312" w:cs="Times New Roman"/>
          <w:color w:val="000000"/>
          <w:kern w:val="0"/>
          <w:sz w:val="32"/>
          <w:szCs w:val="32"/>
          <w:shd w:val="clear" w:color="auto" w:fill="FFFFFF"/>
          <w:lang w:val="en-US" w:eastAsia="zh-CN"/>
        </w:rPr>
        <w:t>十四五规划</w:t>
      </w:r>
      <w:r>
        <w:rPr>
          <w:rFonts w:hint="default" w:ascii="仿宋_GB2312" w:hAnsi="仿宋" w:eastAsia="仿宋_GB2312" w:cs="Times New Roman"/>
          <w:color w:val="000000"/>
          <w:kern w:val="0"/>
          <w:sz w:val="32"/>
          <w:szCs w:val="32"/>
          <w:shd w:val="clear" w:color="auto" w:fill="FFFFFF"/>
          <w:lang w:val="en-US" w:eastAsia="zh-CN"/>
        </w:rPr>
        <w:t>》</w:t>
      </w:r>
      <w:bookmarkEnd w:id="16"/>
      <w:r>
        <w:rPr>
          <w:rFonts w:hint="default" w:ascii="仿宋_GB2312" w:hAnsi="仿宋" w:eastAsia="仿宋_GB2312" w:cs="Times New Roman"/>
          <w:color w:val="000000"/>
          <w:kern w:val="0"/>
          <w:sz w:val="32"/>
          <w:szCs w:val="32"/>
          <w:shd w:val="clear" w:color="auto" w:fill="FFFFFF"/>
          <w:lang w:val="en-US" w:eastAsia="zh-CN"/>
        </w:rPr>
        <w:t>从床位资源、人力资源、设备资源、学科资源</w:t>
      </w:r>
      <w:r>
        <w:rPr>
          <w:rFonts w:hint="eastAsia" w:ascii="仿宋_GB2312" w:hAnsi="仿宋" w:eastAsia="仿宋_GB2312" w:cs="Times New Roman"/>
          <w:color w:val="000000"/>
          <w:kern w:val="0"/>
          <w:sz w:val="32"/>
          <w:szCs w:val="32"/>
          <w:shd w:val="clear" w:color="auto" w:fill="FFFFFF"/>
          <w:lang w:val="en-US" w:eastAsia="zh-CN"/>
        </w:rPr>
        <w:t>四</w:t>
      </w:r>
      <w:r>
        <w:rPr>
          <w:rFonts w:hint="default" w:ascii="仿宋_GB2312" w:hAnsi="仿宋" w:eastAsia="仿宋_GB2312" w:cs="Times New Roman"/>
          <w:color w:val="000000"/>
          <w:kern w:val="0"/>
          <w:sz w:val="32"/>
          <w:szCs w:val="32"/>
          <w:shd w:val="clear" w:color="auto" w:fill="FFFFFF"/>
          <w:lang w:val="en-US" w:eastAsia="zh-CN"/>
        </w:rPr>
        <w:t>个方面进行详细阐述，科学规划资源配置目标，优化资源配置结构，加强资源配置管理。</w:t>
      </w:r>
    </w:p>
    <w:bookmarkEnd w:id="17"/>
    <w:p>
      <w:pPr>
        <w:numPr>
          <w:ilvl w:val="0"/>
          <w:numId w:val="2"/>
        </w:numPr>
        <w:spacing w:line="360" w:lineRule="auto"/>
        <w:ind w:left="0" w:leftChars="0" w:firstLine="643" w:firstLineChars="200"/>
        <w:outlineLvl w:val="1"/>
        <w:rPr>
          <w:rFonts w:hint="default" w:ascii="Times New Roman" w:hAnsi="Times New Roman" w:eastAsia="仿宋_GB2312" w:cs="Times New Roman"/>
          <w:b/>
          <w:color w:val="000000"/>
          <w:kern w:val="0"/>
          <w:sz w:val="32"/>
          <w:szCs w:val="32"/>
          <w:shd w:val="clear" w:color="auto" w:fill="FFFFFF"/>
        </w:rPr>
      </w:pPr>
      <w:r>
        <w:rPr>
          <w:rFonts w:hint="default" w:ascii="Times New Roman" w:hAnsi="Times New Roman" w:eastAsia="仿宋_GB2312" w:cs="Times New Roman"/>
          <w:b/>
          <w:color w:val="000000"/>
          <w:kern w:val="0"/>
          <w:sz w:val="32"/>
          <w:szCs w:val="32"/>
          <w:shd w:val="clear" w:color="auto" w:fill="FFFFFF"/>
        </w:rPr>
        <w:t>重点任务</w:t>
      </w:r>
      <w:r>
        <w:rPr>
          <w:rFonts w:hint="eastAsia" w:ascii="Times New Roman" w:hAnsi="Times New Roman" w:eastAsia="仿宋_GB2312" w:cs="Times New Roman"/>
          <w:b/>
          <w:color w:val="000000"/>
          <w:kern w:val="0"/>
          <w:sz w:val="32"/>
          <w:szCs w:val="32"/>
          <w:shd w:val="clear" w:color="auto" w:fill="FFFFFF"/>
          <w:lang w:eastAsia="zh-CN"/>
        </w:rPr>
        <w:t>。</w:t>
      </w:r>
      <w:r>
        <w:rPr>
          <w:rFonts w:hint="eastAsia" w:ascii="仿宋_GB2312" w:hAnsi="仿宋" w:eastAsia="仿宋_GB2312"/>
          <w:color w:val="000000"/>
          <w:kern w:val="0"/>
          <w:sz w:val="32"/>
          <w:szCs w:val="32"/>
          <w:shd w:val="clear" w:color="auto" w:fill="FFFFFF"/>
        </w:rPr>
        <w:t>从</w:t>
      </w:r>
      <w:r>
        <w:rPr>
          <w:rFonts w:hint="eastAsia" w:ascii="仿宋_GB2312" w:hAnsi="仿宋" w:eastAsia="仿宋_GB2312"/>
          <w:color w:val="000000"/>
          <w:kern w:val="0"/>
          <w:sz w:val="32"/>
          <w:szCs w:val="32"/>
          <w:shd w:val="clear" w:color="auto" w:fill="FFFFFF"/>
          <w:lang w:val="en-US" w:eastAsia="zh-CN"/>
        </w:rPr>
        <w:t>四</w:t>
      </w:r>
      <w:r>
        <w:rPr>
          <w:rFonts w:hint="eastAsia" w:ascii="仿宋_GB2312" w:hAnsi="仿宋" w:eastAsia="仿宋_GB2312"/>
          <w:color w:val="000000"/>
          <w:kern w:val="0"/>
          <w:sz w:val="32"/>
          <w:szCs w:val="32"/>
          <w:shd w:val="clear" w:color="auto" w:fill="FFFFFF"/>
        </w:rPr>
        <w:t>个维度进行详细阐述。</w:t>
      </w:r>
    </w:p>
    <w:p>
      <w:pPr>
        <w:pStyle w:val="5"/>
        <w:numPr>
          <w:ilvl w:val="0"/>
          <w:numId w:val="3"/>
        </w:numPr>
        <w:bidi w:val="0"/>
        <w:ind w:firstLine="880"/>
        <w:rPr>
          <w:rFonts w:hint="default" w:ascii="Times New Roman" w:hAnsi="Times New Roman" w:cs="Times New Roman"/>
          <w:b/>
          <w:color w:val="auto"/>
        </w:rPr>
      </w:pPr>
      <w:r>
        <w:rPr>
          <w:rFonts w:hint="default" w:ascii="Times New Roman" w:hAnsi="Times New Roman" w:cs="Times New Roman"/>
          <w:b/>
          <w:color w:val="auto"/>
        </w:rPr>
        <w:t>建设现代化公共卫生安全体系</w:t>
      </w:r>
    </w:p>
    <w:p>
      <w:pPr>
        <w:widowControl/>
        <w:shd w:val="clear" w:color="auto" w:fill="FFFFFF"/>
        <w:spacing w:line="560" w:lineRule="exact"/>
        <w:ind w:firstLine="692"/>
        <w:rPr>
          <w:rFonts w:hint="default" w:ascii="仿宋_GB2312" w:hAnsi="仿宋" w:eastAsia="仿宋_GB2312" w:cs="Times New Roman"/>
          <w:color w:val="000000"/>
          <w:kern w:val="0"/>
          <w:sz w:val="32"/>
          <w:szCs w:val="32"/>
          <w:shd w:val="clear" w:color="auto" w:fill="FFFFFF"/>
          <w:lang w:val="en-US" w:eastAsia="zh-CN"/>
        </w:rPr>
      </w:pPr>
      <w:r>
        <w:rPr>
          <w:rFonts w:hint="default" w:ascii="仿宋_GB2312" w:hAnsi="仿宋" w:eastAsia="仿宋_GB2312" w:cs="Times New Roman"/>
          <w:color w:val="000000"/>
          <w:kern w:val="0"/>
          <w:sz w:val="32"/>
          <w:szCs w:val="32"/>
          <w:shd w:val="clear" w:color="auto" w:fill="FFFFFF"/>
          <w:lang w:val="en-US" w:eastAsia="zh-CN"/>
        </w:rPr>
        <w:t>建设现代化疾病预防控制体系，加强重大疫情医疗救治能力，加强紧急医学救援建设及强化公共卫生应急保障能力。</w:t>
      </w:r>
    </w:p>
    <w:p>
      <w:pPr>
        <w:pStyle w:val="5"/>
        <w:numPr>
          <w:ilvl w:val="0"/>
          <w:numId w:val="3"/>
        </w:numPr>
        <w:bidi w:val="0"/>
        <w:ind w:firstLine="880"/>
        <w:rPr>
          <w:rFonts w:hint="default" w:ascii="Times New Roman" w:hAnsi="Times New Roman" w:cs="Times New Roman"/>
          <w:b/>
          <w:color w:val="auto"/>
        </w:rPr>
      </w:pPr>
      <w:r>
        <w:rPr>
          <w:rFonts w:hint="default" w:ascii="Times New Roman" w:hAnsi="Times New Roman" w:cs="Times New Roman"/>
          <w:b/>
          <w:color w:val="auto"/>
        </w:rPr>
        <w:t>优化整合型医疗卫生服务体系</w:t>
      </w:r>
    </w:p>
    <w:p>
      <w:pPr>
        <w:widowControl/>
        <w:shd w:val="clear" w:color="auto" w:fill="FFFFFF"/>
        <w:spacing w:line="560" w:lineRule="exact"/>
        <w:ind w:firstLine="692"/>
        <w:rPr>
          <w:rFonts w:hint="default" w:ascii="仿宋_GB2312" w:hAnsi="仿宋" w:eastAsia="仿宋_GB2312" w:cs="Times New Roman"/>
          <w:color w:val="000000"/>
          <w:kern w:val="0"/>
          <w:sz w:val="32"/>
          <w:szCs w:val="32"/>
          <w:shd w:val="clear" w:color="auto" w:fill="FFFFFF"/>
          <w:lang w:val="en-US" w:eastAsia="zh-CN"/>
        </w:rPr>
      </w:pPr>
      <w:r>
        <w:rPr>
          <w:rFonts w:hint="default" w:ascii="仿宋_GB2312" w:hAnsi="仿宋" w:eastAsia="仿宋_GB2312" w:cs="Times New Roman"/>
          <w:color w:val="000000"/>
          <w:kern w:val="0"/>
          <w:sz w:val="32"/>
          <w:szCs w:val="32"/>
          <w:shd w:val="clear" w:color="auto" w:fill="FFFFFF"/>
          <w:lang w:val="en-US" w:eastAsia="zh-CN"/>
        </w:rPr>
        <w:t>推进县级医院高质量发展，推进县域医疗综合服务能力提升，筑牢基层医疗服务网底，促进社会办医协调发展。</w:t>
      </w:r>
    </w:p>
    <w:p>
      <w:pPr>
        <w:pStyle w:val="5"/>
        <w:numPr>
          <w:ilvl w:val="0"/>
          <w:numId w:val="3"/>
        </w:numPr>
        <w:bidi w:val="0"/>
        <w:ind w:firstLine="880"/>
        <w:rPr>
          <w:rFonts w:hint="default" w:ascii="Times New Roman" w:hAnsi="Times New Roman" w:cs="Times New Roman"/>
          <w:b/>
          <w:color w:val="auto"/>
        </w:rPr>
      </w:pPr>
      <w:r>
        <w:rPr>
          <w:rFonts w:hint="default" w:ascii="Times New Roman" w:hAnsi="Times New Roman" w:cs="Times New Roman"/>
          <w:b/>
          <w:color w:val="auto"/>
        </w:rPr>
        <w:t>构筑全生命周期健康服务体系</w:t>
      </w:r>
    </w:p>
    <w:p>
      <w:pPr>
        <w:widowControl/>
        <w:shd w:val="clear" w:color="auto" w:fill="FFFFFF"/>
        <w:spacing w:line="560" w:lineRule="exact"/>
        <w:ind w:firstLine="692"/>
        <w:rPr>
          <w:rFonts w:hint="default" w:ascii="仿宋_GB2312" w:hAnsi="仿宋" w:eastAsia="仿宋_GB2312" w:cs="Times New Roman"/>
          <w:color w:val="000000"/>
          <w:kern w:val="0"/>
          <w:sz w:val="32"/>
          <w:szCs w:val="32"/>
          <w:shd w:val="clear" w:color="auto" w:fill="FFFFFF"/>
          <w:lang w:val="en-US" w:eastAsia="zh-CN"/>
        </w:rPr>
      </w:pPr>
      <w:r>
        <w:rPr>
          <w:rFonts w:hint="default" w:ascii="仿宋_GB2312" w:hAnsi="仿宋" w:eastAsia="仿宋_GB2312" w:cs="Times New Roman"/>
          <w:color w:val="000000"/>
          <w:kern w:val="0"/>
          <w:sz w:val="32"/>
          <w:szCs w:val="32"/>
          <w:shd w:val="clear" w:color="auto" w:fill="FFFFFF"/>
          <w:lang w:val="en-US" w:eastAsia="zh-CN"/>
        </w:rPr>
        <w:t>健全妇幼保健体系，完善老年健康服务体系及医防协同服务体系。</w:t>
      </w:r>
    </w:p>
    <w:p>
      <w:pPr>
        <w:pStyle w:val="5"/>
        <w:numPr>
          <w:ilvl w:val="0"/>
          <w:numId w:val="3"/>
        </w:numPr>
        <w:bidi w:val="0"/>
        <w:ind w:firstLine="880"/>
        <w:rPr>
          <w:rFonts w:hint="default" w:ascii="Times New Roman" w:hAnsi="Times New Roman" w:cs="Times New Roman"/>
          <w:b/>
          <w:color w:val="auto"/>
        </w:rPr>
      </w:pPr>
      <w:bookmarkStart w:id="18" w:name="_Toc12698"/>
      <w:r>
        <w:rPr>
          <w:rFonts w:hint="default" w:ascii="Times New Roman" w:hAnsi="Times New Roman" w:cs="Times New Roman"/>
          <w:b/>
          <w:color w:val="auto"/>
        </w:rPr>
        <w:t>建设智慧互联的卫生健康服务体系</w:t>
      </w:r>
      <w:bookmarkEnd w:id="18"/>
    </w:p>
    <w:p>
      <w:pPr>
        <w:widowControl/>
        <w:shd w:val="clear" w:color="auto" w:fill="FFFFFF"/>
        <w:spacing w:line="560" w:lineRule="exact"/>
        <w:ind w:firstLine="692"/>
        <w:rPr>
          <w:rFonts w:hint="default" w:ascii="仿宋_GB2312" w:hAnsi="仿宋" w:eastAsia="仿宋_GB2312" w:cs="Times New Roman"/>
          <w:color w:val="000000"/>
          <w:kern w:val="0"/>
          <w:sz w:val="32"/>
          <w:szCs w:val="32"/>
          <w:shd w:val="clear" w:color="auto" w:fill="FFFFFF"/>
          <w:lang w:val="en-US" w:eastAsia="zh-CN"/>
        </w:rPr>
      </w:pPr>
      <w:r>
        <w:rPr>
          <w:rFonts w:hint="default" w:ascii="仿宋_GB2312" w:hAnsi="仿宋" w:eastAsia="仿宋_GB2312" w:cs="Times New Roman"/>
          <w:color w:val="000000"/>
          <w:kern w:val="0"/>
          <w:sz w:val="32"/>
          <w:szCs w:val="32"/>
          <w:shd w:val="clear" w:color="auto" w:fill="FFFFFF"/>
          <w:lang w:val="en-US" w:eastAsia="zh-CN"/>
        </w:rPr>
        <w:t>打造数字医疗服务体系，建设突发公共卫生应急</w:t>
      </w:r>
      <w:bookmarkStart w:id="19" w:name="_Hlk58512383"/>
      <w:r>
        <w:rPr>
          <w:rFonts w:hint="default" w:ascii="仿宋_GB2312" w:hAnsi="仿宋" w:eastAsia="仿宋_GB2312" w:cs="Times New Roman"/>
          <w:color w:val="000000"/>
          <w:kern w:val="0"/>
          <w:sz w:val="32"/>
          <w:szCs w:val="32"/>
          <w:shd w:val="clear" w:color="auto" w:fill="FFFFFF"/>
          <w:lang w:val="en-US" w:eastAsia="zh-CN"/>
        </w:rPr>
        <w:t>决策与指挥集成</w:t>
      </w:r>
      <w:bookmarkEnd w:id="19"/>
      <w:r>
        <w:rPr>
          <w:rFonts w:hint="default" w:ascii="仿宋_GB2312" w:hAnsi="仿宋" w:eastAsia="仿宋_GB2312" w:cs="Times New Roman"/>
          <w:color w:val="000000"/>
          <w:kern w:val="0"/>
          <w:sz w:val="32"/>
          <w:szCs w:val="32"/>
          <w:shd w:val="clear" w:color="auto" w:fill="FFFFFF"/>
          <w:lang w:val="en-US" w:eastAsia="zh-CN"/>
        </w:rPr>
        <w:t>系统。</w:t>
      </w:r>
    </w:p>
    <w:p>
      <w:pPr>
        <w:numPr>
          <w:ilvl w:val="0"/>
          <w:numId w:val="2"/>
        </w:numPr>
        <w:spacing w:line="360" w:lineRule="auto"/>
        <w:ind w:left="0" w:leftChars="0" w:firstLine="643" w:firstLineChars="200"/>
        <w:outlineLvl w:val="1"/>
        <w:rPr>
          <w:rFonts w:hint="default" w:ascii="仿宋_GB2312" w:hAnsi="仿宋" w:eastAsia="仿宋_GB2312" w:cs="Times New Roman"/>
          <w:color w:val="000000"/>
          <w:kern w:val="0"/>
          <w:sz w:val="32"/>
          <w:szCs w:val="32"/>
          <w:shd w:val="clear" w:color="auto" w:fill="FFFFFF"/>
          <w:lang w:val="en-US" w:eastAsia="zh-CN"/>
        </w:rPr>
      </w:pPr>
      <w:bookmarkStart w:id="20" w:name="_Toc76719900"/>
      <w:r>
        <w:rPr>
          <w:rFonts w:hint="default" w:ascii="Times New Roman" w:hAnsi="Times New Roman" w:eastAsia="仿宋_GB2312" w:cs="Times New Roman"/>
          <w:b/>
          <w:color w:val="000000"/>
          <w:kern w:val="0"/>
          <w:sz w:val="32"/>
          <w:szCs w:val="32"/>
          <w:shd w:val="clear" w:color="auto" w:fill="FFFFFF"/>
        </w:rPr>
        <w:t>保障措施</w:t>
      </w:r>
      <w:bookmarkEnd w:id="20"/>
      <w:bookmarkStart w:id="21" w:name="OLE_LINK13"/>
      <w:r>
        <w:rPr>
          <w:rFonts w:hint="eastAsia" w:ascii="Times New Roman" w:hAnsi="Times New Roman" w:eastAsia="仿宋_GB2312" w:cs="Times New Roman"/>
          <w:b/>
          <w:color w:val="000000"/>
          <w:kern w:val="0"/>
          <w:sz w:val="32"/>
          <w:szCs w:val="32"/>
          <w:shd w:val="clear" w:color="auto" w:fill="FFFFFF"/>
          <w:lang w:eastAsia="zh-CN"/>
        </w:rPr>
        <w:t>。</w:t>
      </w:r>
      <w:r>
        <w:rPr>
          <w:rFonts w:hint="default" w:ascii="仿宋_GB2312" w:hAnsi="仿宋" w:eastAsia="仿宋_GB2312" w:cs="Times New Roman"/>
          <w:color w:val="000000"/>
          <w:kern w:val="0"/>
          <w:sz w:val="32"/>
          <w:szCs w:val="32"/>
          <w:shd w:val="clear" w:color="auto" w:fill="FFFFFF"/>
          <w:lang w:val="en-US" w:eastAsia="zh-CN"/>
        </w:rPr>
        <w:t>为保证规划的有效实施，发挥规划对医疗事业发展的指导作用，提出加强组织领导、完善投入机制、加强部门联动、加强调控监管、强化政策保障、加强宣传引导等保障措施。各相关部门要以医疗机构设置规划为依据，对区域内的医疗卫生资源配置实行全方案宏观调控，切实增强规划的执行力，共同促进规划目标的实现，全面推进健康乐清建设。</w:t>
      </w:r>
    </w:p>
    <w:bookmarkEnd w:id="21"/>
    <w:p>
      <w:pPr>
        <w:pStyle w:val="3"/>
        <w:bidi w:val="0"/>
        <w:rPr>
          <w:rFonts w:hint="default"/>
        </w:rPr>
      </w:pPr>
      <w:r>
        <w:rPr>
          <w:rFonts w:hint="default"/>
        </w:rPr>
        <w:t>其他事项</w:t>
      </w:r>
    </w:p>
    <w:p>
      <w:pPr>
        <w:pStyle w:val="4"/>
        <w:bidi w:val="0"/>
        <w:rPr>
          <w:rFonts w:hint="default"/>
        </w:rPr>
      </w:pPr>
      <w:r>
        <w:rPr>
          <w:rFonts w:hint="eastAsia"/>
        </w:rPr>
        <w:t>关于</w:t>
      </w:r>
      <w:bookmarkStart w:id="22" w:name="OLE_LINK10"/>
      <w:r>
        <w:rPr>
          <w:rFonts w:hint="eastAsia"/>
          <w:lang w:eastAsia="zh-CN"/>
        </w:rPr>
        <w:t>《</w:t>
      </w:r>
      <w:r>
        <w:rPr>
          <w:rFonts w:hint="eastAsia"/>
          <w:lang w:val="en-US" w:eastAsia="zh-CN"/>
        </w:rPr>
        <w:t>十四五规划</w:t>
      </w:r>
      <w:r>
        <w:rPr>
          <w:rFonts w:hint="eastAsia"/>
          <w:lang w:eastAsia="zh-CN"/>
        </w:rPr>
        <w:t>》</w:t>
      </w:r>
      <w:bookmarkEnd w:id="22"/>
      <w:r>
        <w:rPr>
          <w:rFonts w:hint="eastAsia"/>
        </w:rPr>
        <w:t>主要指标值</w:t>
      </w:r>
    </w:p>
    <w:p>
      <w:pPr>
        <w:widowControl/>
        <w:shd w:val="clear" w:color="auto" w:fill="FFFFFF"/>
        <w:spacing w:line="560" w:lineRule="exact"/>
        <w:ind w:firstLine="692"/>
        <w:rPr>
          <w:rFonts w:hint="eastAsia" w:ascii="仿宋_GB2312" w:hAnsi="仿宋" w:eastAsia="仿宋_GB2312" w:cs="Times New Roman"/>
          <w:color w:val="000000"/>
          <w:kern w:val="0"/>
          <w:sz w:val="32"/>
          <w:szCs w:val="32"/>
          <w:shd w:val="clear" w:color="auto" w:fill="FFFFFF"/>
          <w:lang w:val="en-US" w:eastAsia="zh-CN"/>
        </w:rPr>
      </w:pPr>
      <w:r>
        <w:rPr>
          <w:rFonts w:hint="eastAsia" w:ascii="仿宋_GB2312" w:hAnsi="仿宋" w:eastAsia="仿宋_GB2312" w:cs="Times New Roman"/>
          <w:color w:val="000000"/>
          <w:kern w:val="0"/>
          <w:sz w:val="32"/>
          <w:szCs w:val="32"/>
          <w:shd w:val="clear" w:color="auto" w:fill="FFFFFF"/>
          <w:lang w:val="en-US" w:eastAsia="zh-CN"/>
        </w:rPr>
        <w:t>结合乐清市历史和现状，按照通过克难攻坚能实现的原则，根据</w:t>
      </w:r>
      <w:bookmarkStart w:id="23" w:name="OLE_LINK4"/>
      <w:bookmarkStart w:id="24" w:name="OLE_LINK2"/>
      <w:r>
        <w:rPr>
          <w:rFonts w:hint="eastAsia" w:ascii="仿宋_GB2312" w:hAnsi="仿宋" w:eastAsia="仿宋_GB2312" w:cs="Times New Roman"/>
          <w:color w:val="000000"/>
          <w:kern w:val="0"/>
          <w:sz w:val="32"/>
          <w:szCs w:val="32"/>
          <w:shd w:val="clear" w:color="auto" w:fill="FFFFFF"/>
          <w:lang w:val="en-US" w:eastAsia="zh-CN"/>
        </w:rPr>
        <w:t>《浙江省卫生健康事业发展及突发公共卫生事件应急管理“十四五”规划》《浙江省医疗卫生服务体系暨医疗机构设置“十四五”规划》《温州市卫生健康事业发展及突发公共卫生事件应急管理“十四五”规划》</w:t>
      </w:r>
      <w:bookmarkEnd w:id="23"/>
      <w:r>
        <w:rPr>
          <w:rFonts w:hint="default" w:ascii="仿宋_GB2312" w:hAnsi="仿宋" w:eastAsia="仿宋_GB2312" w:cs="Times New Roman"/>
          <w:color w:val="000000"/>
          <w:kern w:val="0"/>
          <w:sz w:val="32"/>
          <w:szCs w:val="32"/>
          <w:shd w:val="clear" w:color="auto" w:fill="FFFFFF"/>
          <w:lang w:val="en-US" w:eastAsia="zh-CN"/>
        </w:rPr>
        <w:t>《温州市区域卫生（中心城区医疗卫生机构设置）</w:t>
      </w:r>
      <w:r>
        <w:rPr>
          <w:rFonts w:hint="eastAsia" w:ascii="仿宋_GB2312" w:hAnsi="仿宋" w:eastAsia="仿宋_GB2312" w:cs="Times New Roman"/>
          <w:color w:val="000000"/>
          <w:kern w:val="0"/>
          <w:sz w:val="32"/>
          <w:szCs w:val="32"/>
          <w:shd w:val="clear" w:color="auto" w:fill="FFFFFF"/>
          <w:lang w:val="en-US" w:eastAsia="zh-CN"/>
        </w:rPr>
        <w:t>“十四五”</w:t>
      </w:r>
      <w:r>
        <w:rPr>
          <w:rFonts w:hint="default" w:ascii="仿宋_GB2312" w:hAnsi="仿宋" w:eastAsia="仿宋_GB2312" w:cs="Times New Roman"/>
          <w:color w:val="000000"/>
          <w:kern w:val="0"/>
          <w:sz w:val="32"/>
          <w:szCs w:val="32"/>
          <w:shd w:val="clear" w:color="auto" w:fill="FFFFFF"/>
          <w:lang w:val="en-US" w:eastAsia="zh-CN"/>
        </w:rPr>
        <w:t>规划》</w:t>
      </w:r>
      <w:bookmarkEnd w:id="24"/>
      <w:r>
        <w:rPr>
          <w:rFonts w:hint="eastAsia" w:ascii="仿宋_GB2312" w:hAnsi="仿宋" w:eastAsia="仿宋_GB2312" w:cs="Times New Roman"/>
          <w:color w:val="000000"/>
          <w:kern w:val="0"/>
          <w:sz w:val="32"/>
          <w:szCs w:val="32"/>
          <w:shd w:val="clear" w:color="auto" w:fill="FFFFFF"/>
          <w:lang w:val="en-US" w:eastAsia="zh-CN"/>
        </w:rPr>
        <w:t>和</w:t>
      </w:r>
      <w:r>
        <w:rPr>
          <w:rFonts w:hint="default" w:ascii="仿宋_GB2312" w:hAnsi="仿宋" w:eastAsia="仿宋_GB2312" w:cs="Times New Roman"/>
          <w:color w:val="000000"/>
          <w:kern w:val="0"/>
          <w:sz w:val="32"/>
          <w:szCs w:val="32"/>
          <w:shd w:val="clear" w:color="auto" w:fill="FFFFFF"/>
          <w:lang w:val="en-US" w:eastAsia="zh-CN"/>
        </w:rPr>
        <w:t>《乐清市国民经济和社会发展第十四个五年规划和二〇三五年远景目标纲要》</w:t>
      </w:r>
      <w:r>
        <w:rPr>
          <w:rFonts w:hint="eastAsia" w:ascii="仿宋_GB2312" w:hAnsi="仿宋" w:eastAsia="仿宋_GB2312" w:cs="Times New Roman"/>
          <w:color w:val="000000"/>
          <w:kern w:val="0"/>
          <w:sz w:val="32"/>
          <w:szCs w:val="32"/>
          <w:shd w:val="clear" w:color="auto" w:fill="FFFFFF"/>
          <w:lang w:val="en-US" w:eastAsia="zh-CN"/>
        </w:rPr>
        <w:t>研究确定《十四五规划》主要指标值。</w:t>
      </w:r>
    </w:p>
    <w:p>
      <w:pPr>
        <w:pStyle w:val="4"/>
        <w:bidi w:val="0"/>
        <w:rPr>
          <w:rFonts w:hint="default"/>
          <w:lang w:val="en-US" w:eastAsia="zh-CN"/>
        </w:rPr>
      </w:pPr>
      <w:bookmarkStart w:id="25" w:name="OLE_LINK3"/>
      <w:r>
        <w:rPr>
          <w:rFonts w:hint="eastAsia"/>
          <w:lang w:val="en-US" w:eastAsia="zh-CN"/>
        </w:rPr>
        <w:t>关于发文形式</w:t>
      </w:r>
    </w:p>
    <w:bookmarkEnd w:id="25"/>
    <w:p>
      <w:pPr>
        <w:widowControl/>
        <w:shd w:val="clear" w:color="auto" w:fill="FFFFFF"/>
        <w:spacing w:line="560" w:lineRule="exact"/>
        <w:ind w:firstLine="692"/>
        <w:rPr>
          <w:rFonts w:hint="eastAsia" w:ascii="仿宋_GB2312" w:hAnsi="仿宋" w:eastAsia="仿宋_GB2312" w:cs="Times New Roman"/>
          <w:color w:val="000000"/>
          <w:kern w:val="0"/>
          <w:sz w:val="32"/>
          <w:szCs w:val="32"/>
          <w:shd w:val="clear" w:color="auto" w:fill="FFFFFF"/>
          <w:lang w:val="en-US" w:eastAsia="zh-CN"/>
        </w:rPr>
      </w:pPr>
      <w:r>
        <w:rPr>
          <w:rFonts w:hint="eastAsia" w:ascii="仿宋_GB2312" w:hAnsi="仿宋" w:eastAsia="仿宋_GB2312" w:cs="Times New Roman"/>
          <w:color w:val="000000"/>
          <w:kern w:val="0"/>
          <w:sz w:val="32"/>
          <w:szCs w:val="32"/>
          <w:shd w:val="clear" w:color="auto" w:fill="FFFFFF"/>
          <w:lang w:val="en-US" w:eastAsia="zh-CN"/>
        </w:rPr>
        <w:t>《</w:t>
      </w:r>
      <w:r>
        <w:rPr>
          <w:rFonts w:hint="default" w:ascii="仿宋_GB2312" w:hAnsi="仿宋" w:eastAsia="仿宋_GB2312" w:cs="Times New Roman"/>
          <w:color w:val="000000"/>
          <w:kern w:val="0"/>
          <w:sz w:val="32"/>
          <w:szCs w:val="32"/>
          <w:shd w:val="clear" w:color="auto" w:fill="FFFFFF"/>
          <w:lang w:val="en-US" w:eastAsia="zh-CN"/>
        </w:rPr>
        <w:t>乐清市医疗卫生服务体系暨医疗机构设置</w:t>
      </w:r>
      <w:r>
        <w:rPr>
          <w:rFonts w:hint="eastAsia" w:ascii="仿宋_GB2312" w:hAnsi="仿宋" w:eastAsia="仿宋_GB2312" w:cs="Times New Roman"/>
          <w:color w:val="000000"/>
          <w:kern w:val="0"/>
          <w:sz w:val="32"/>
          <w:szCs w:val="32"/>
          <w:shd w:val="clear" w:color="auto" w:fill="FFFFFF"/>
          <w:lang w:val="en-US" w:eastAsia="zh-CN"/>
        </w:rPr>
        <w:t>“十四五”</w:t>
      </w:r>
      <w:r>
        <w:rPr>
          <w:rFonts w:hint="default" w:ascii="仿宋_GB2312" w:hAnsi="仿宋" w:eastAsia="仿宋_GB2312" w:cs="Times New Roman"/>
          <w:color w:val="000000"/>
          <w:kern w:val="0"/>
          <w:sz w:val="32"/>
          <w:szCs w:val="32"/>
          <w:shd w:val="clear" w:color="auto" w:fill="FFFFFF"/>
          <w:lang w:val="en-US" w:eastAsia="zh-CN"/>
        </w:rPr>
        <w:t>规划</w:t>
      </w:r>
      <w:r>
        <w:rPr>
          <w:rFonts w:hint="eastAsia" w:ascii="仿宋_GB2312" w:hAnsi="仿宋" w:eastAsia="仿宋_GB2312" w:cs="Times New Roman"/>
          <w:color w:val="000000"/>
          <w:kern w:val="0"/>
          <w:sz w:val="32"/>
          <w:szCs w:val="32"/>
          <w:shd w:val="clear" w:color="auto" w:fill="FFFFFF"/>
          <w:lang w:val="en-US" w:eastAsia="zh-CN"/>
        </w:rPr>
        <w:t>》</w:t>
      </w:r>
      <w:r>
        <w:rPr>
          <w:rFonts w:hint="eastAsia" w:ascii="仿宋_GB2312" w:eastAsia="仿宋_GB2312"/>
          <w:sz w:val="32"/>
          <w:szCs w:val="32"/>
        </w:rPr>
        <w:t>经</w:t>
      </w:r>
      <w:r>
        <w:rPr>
          <w:rFonts w:hint="eastAsia" w:ascii="仿宋_GB2312" w:eastAsia="仿宋_GB2312"/>
          <w:sz w:val="32"/>
          <w:szCs w:val="32"/>
          <w:lang w:eastAsia="zh-CN"/>
        </w:rPr>
        <w:t>专家论证，</w:t>
      </w:r>
      <w:r>
        <w:rPr>
          <w:rFonts w:hint="eastAsia" w:ascii="仿宋_GB2312" w:eastAsia="仿宋_GB2312"/>
          <w:sz w:val="32"/>
          <w:szCs w:val="32"/>
        </w:rPr>
        <w:t>乐清市</w:t>
      </w:r>
      <w:r>
        <w:rPr>
          <w:rFonts w:hint="eastAsia" w:ascii="仿宋_GB2312" w:eastAsia="仿宋_GB2312"/>
          <w:sz w:val="32"/>
          <w:szCs w:val="32"/>
          <w:lang w:eastAsia="zh-CN"/>
        </w:rPr>
        <w:t>发改局</w:t>
      </w:r>
      <w:r>
        <w:rPr>
          <w:rFonts w:hint="eastAsia" w:ascii="仿宋_GB2312" w:eastAsia="仿宋_GB2312"/>
          <w:sz w:val="32"/>
          <w:szCs w:val="32"/>
        </w:rPr>
        <w:t>审</w:t>
      </w:r>
      <w:r>
        <w:rPr>
          <w:rFonts w:hint="eastAsia" w:ascii="仿宋_GB2312" w:eastAsia="仿宋_GB2312"/>
          <w:sz w:val="32"/>
          <w:szCs w:val="32"/>
          <w:lang w:eastAsia="zh-CN"/>
        </w:rPr>
        <w:t>核</w:t>
      </w:r>
      <w:r>
        <w:rPr>
          <w:rFonts w:hint="eastAsia" w:ascii="仿宋_GB2312" w:eastAsia="仿宋_GB2312"/>
          <w:sz w:val="32"/>
          <w:szCs w:val="32"/>
        </w:rPr>
        <w:t>通过后</w:t>
      </w:r>
      <w:r>
        <w:rPr>
          <w:rFonts w:hint="eastAsia" w:ascii="仿宋_GB2312" w:eastAsia="仿宋_GB2312"/>
          <w:sz w:val="32"/>
          <w:szCs w:val="32"/>
          <w:lang w:eastAsia="zh-CN"/>
        </w:rPr>
        <w:t>，与市发改局联合发文</w:t>
      </w:r>
      <w:r>
        <w:rPr>
          <w:rFonts w:hint="eastAsia" w:ascii="仿宋_GB2312" w:eastAsia="仿宋_GB2312"/>
          <w:sz w:val="32"/>
          <w:szCs w:val="32"/>
        </w:rPr>
        <w:t>。</w:t>
      </w:r>
    </w:p>
    <w:p>
      <w:pPr>
        <w:spacing w:line="560" w:lineRule="exact"/>
        <w:ind w:firstLine="640" w:firstLineChars="200"/>
        <w:jc w:val="left"/>
        <w:rPr>
          <w:rFonts w:ascii="Times New Roman" w:hAnsi="Times New Roman" w:eastAsia="仿宋_GB2312" w:cs="Times New Roman"/>
          <w:sz w:val="32"/>
          <w:szCs w:val="32"/>
        </w:rPr>
      </w:pPr>
    </w:p>
    <w:p>
      <w:pPr>
        <w:rPr>
          <w:rFonts w:ascii="Times New Roman" w:hAnsi="Times New Roman" w:cs="Times New Roman"/>
        </w:rPr>
      </w:pPr>
    </w:p>
    <w:p>
      <w:pPr>
        <w:wordWrap w:val="0"/>
        <w:spacing w:line="560" w:lineRule="exact"/>
        <w:ind w:firstLine="640" w:firstLineChars="200"/>
        <w:contextualSpacing/>
        <w:jc w:val="right"/>
        <w:rPr>
          <w:rFonts w:hint="eastAsia" w:ascii="仿宋_GB2312" w:eastAsia="仿宋_GB2312"/>
          <w:sz w:val="32"/>
          <w:szCs w:val="32"/>
        </w:rPr>
      </w:pPr>
    </w:p>
    <w:p>
      <w:pPr>
        <w:wordWrap w:val="0"/>
        <w:spacing w:line="560" w:lineRule="exact"/>
        <w:contextualSpacing/>
        <w:jc w:val="both"/>
        <w:rPr>
          <w:rFonts w:hint="eastAsia" w:ascii="仿宋_GB2312" w:eastAsia="仿宋_GB2312"/>
          <w:sz w:val="32"/>
          <w:szCs w:val="32"/>
        </w:rPr>
      </w:pPr>
    </w:p>
    <w:p>
      <w:pPr>
        <w:wordWrap w:val="0"/>
        <w:spacing w:line="560" w:lineRule="exact"/>
        <w:ind w:firstLine="640" w:firstLineChars="200"/>
        <w:contextualSpacing/>
        <w:jc w:val="right"/>
        <w:rPr>
          <w:rFonts w:hint="eastAsia" w:ascii="仿宋_GB2312" w:eastAsia="仿宋_GB2312"/>
          <w:sz w:val="32"/>
          <w:szCs w:val="32"/>
        </w:rPr>
      </w:pPr>
    </w:p>
    <w:p>
      <w:pPr>
        <w:wordWrap w:val="0"/>
        <w:spacing w:line="560" w:lineRule="exact"/>
        <w:ind w:firstLine="640" w:firstLineChars="200"/>
        <w:contextualSpacing/>
        <w:jc w:val="right"/>
        <w:rPr>
          <w:rFonts w:hint="eastAsia" w:ascii="仿宋_GB2312" w:eastAsia="仿宋_GB2312"/>
          <w:sz w:val="32"/>
          <w:szCs w:val="32"/>
        </w:rPr>
      </w:pPr>
    </w:p>
    <w:p>
      <w:pPr>
        <w:wordWrap w:val="0"/>
        <w:spacing w:line="560" w:lineRule="exact"/>
        <w:ind w:firstLine="640" w:firstLineChars="200"/>
        <w:contextualSpacing/>
        <w:jc w:val="right"/>
        <w:rPr>
          <w:rFonts w:ascii="仿宋_GB2312" w:eastAsia="仿宋_GB2312"/>
          <w:sz w:val="32"/>
          <w:szCs w:val="32"/>
        </w:rPr>
      </w:pPr>
      <w:r>
        <w:rPr>
          <w:rFonts w:hint="eastAsia" w:ascii="仿宋_GB2312" w:eastAsia="仿宋_GB2312"/>
          <w:sz w:val="32"/>
          <w:szCs w:val="32"/>
        </w:rPr>
        <w:t xml:space="preserve">乐清市卫生健康局 </w:t>
      </w:r>
    </w:p>
    <w:p>
      <w:pPr>
        <w:spacing w:line="560"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 xml:space="preserve">                               2021年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p>
    <w:p>
      <w:pPr>
        <w:snapToGrid w:val="0"/>
        <w:spacing w:line="360" w:lineRule="auto"/>
        <w:rPr>
          <w:rFonts w:ascii="Times New Roman" w:hAnsi="Times New Roman" w:eastAsia="仿宋_GB2312" w:cs="Times New Roman"/>
          <w:kern w:val="0"/>
          <w:sz w:val="32"/>
          <w:szCs w:val="32"/>
        </w:rPr>
      </w:pPr>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1859118"/>
      <w:docPartObj>
        <w:docPartGallery w:val="autotext"/>
      </w:docPartObj>
    </w:sdtPr>
    <w:sdtContent>
      <w:p>
        <w:pPr>
          <w:pStyle w:val="16"/>
        </w:pPr>
        <w:r>
          <w:fldChar w:fldCharType="begin"/>
        </w:r>
        <w:r>
          <w:instrText xml:space="preserve">PAGE   \* MERGEFORMAT</w:instrText>
        </w:r>
        <w:r>
          <w:fldChar w:fldCharType="separate"/>
        </w:r>
        <w:r>
          <w:rPr>
            <w:lang w:val="zh-CN"/>
          </w:rPr>
          <w:t>5</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096D4"/>
    <w:multiLevelType w:val="multilevel"/>
    <w:tmpl w:val="BFA096D4"/>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b/>
        <w:bCs/>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1">
    <w:nsid w:val="C283A283"/>
    <w:multiLevelType w:val="singleLevel"/>
    <w:tmpl w:val="C283A283"/>
    <w:lvl w:ilvl="0" w:tentative="0">
      <w:start w:val="1"/>
      <w:numFmt w:val="decimal"/>
      <w:suff w:val="nothing"/>
      <w:lvlText w:val="%1、"/>
      <w:lvlJc w:val="left"/>
    </w:lvl>
  </w:abstractNum>
  <w:abstractNum w:abstractNumId="2">
    <w:nsid w:val="30AE34A6"/>
    <w:multiLevelType w:val="singleLevel"/>
    <w:tmpl w:val="30AE34A6"/>
    <w:lvl w:ilvl="0" w:tentative="0">
      <w:start w:val="1"/>
      <w:numFmt w:val="chineseCounting"/>
      <w:suff w:val="nothing"/>
      <w:lvlText w:val="（%1）"/>
      <w:lvlJc w:val="left"/>
      <w:rPr>
        <w:rFonts w:hint="eastAsia"/>
        <w:b/>
        <w:bCs/>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6D"/>
    <w:rsid w:val="000125D5"/>
    <w:rsid w:val="00012BC8"/>
    <w:rsid w:val="00027283"/>
    <w:rsid w:val="00043AA8"/>
    <w:rsid w:val="000464C8"/>
    <w:rsid w:val="00046741"/>
    <w:rsid w:val="000502CF"/>
    <w:rsid w:val="00067F06"/>
    <w:rsid w:val="000A717C"/>
    <w:rsid w:val="000B76A8"/>
    <w:rsid w:val="000D3468"/>
    <w:rsid w:val="00103E12"/>
    <w:rsid w:val="001106FE"/>
    <w:rsid w:val="001176F4"/>
    <w:rsid w:val="0013317C"/>
    <w:rsid w:val="001641B1"/>
    <w:rsid w:val="001649FC"/>
    <w:rsid w:val="0016503D"/>
    <w:rsid w:val="001C3284"/>
    <w:rsid w:val="001C4F16"/>
    <w:rsid w:val="002456B7"/>
    <w:rsid w:val="002C6C3E"/>
    <w:rsid w:val="002C6F55"/>
    <w:rsid w:val="002D4777"/>
    <w:rsid w:val="002D4D47"/>
    <w:rsid w:val="002E02D4"/>
    <w:rsid w:val="002F6C02"/>
    <w:rsid w:val="00306A06"/>
    <w:rsid w:val="00336C7A"/>
    <w:rsid w:val="00336F7E"/>
    <w:rsid w:val="00342AAC"/>
    <w:rsid w:val="00346C94"/>
    <w:rsid w:val="0035326D"/>
    <w:rsid w:val="0035396F"/>
    <w:rsid w:val="00356D2F"/>
    <w:rsid w:val="00376438"/>
    <w:rsid w:val="00394028"/>
    <w:rsid w:val="003A44A7"/>
    <w:rsid w:val="003B464B"/>
    <w:rsid w:val="003E02B5"/>
    <w:rsid w:val="003F63DD"/>
    <w:rsid w:val="00400E79"/>
    <w:rsid w:val="00406E81"/>
    <w:rsid w:val="0041183B"/>
    <w:rsid w:val="00453B63"/>
    <w:rsid w:val="00454876"/>
    <w:rsid w:val="00490114"/>
    <w:rsid w:val="004B29F8"/>
    <w:rsid w:val="004D6AA9"/>
    <w:rsid w:val="0050660C"/>
    <w:rsid w:val="00510B4F"/>
    <w:rsid w:val="00522BD8"/>
    <w:rsid w:val="00545570"/>
    <w:rsid w:val="00571540"/>
    <w:rsid w:val="0057741D"/>
    <w:rsid w:val="00580BC3"/>
    <w:rsid w:val="005C1443"/>
    <w:rsid w:val="00605BB9"/>
    <w:rsid w:val="006944E3"/>
    <w:rsid w:val="006A14D2"/>
    <w:rsid w:val="006A34C1"/>
    <w:rsid w:val="006B31C9"/>
    <w:rsid w:val="006B4642"/>
    <w:rsid w:val="006C4CC8"/>
    <w:rsid w:val="006F16CF"/>
    <w:rsid w:val="00712119"/>
    <w:rsid w:val="00716126"/>
    <w:rsid w:val="00736DE6"/>
    <w:rsid w:val="00746B3C"/>
    <w:rsid w:val="0075107F"/>
    <w:rsid w:val="00785EB3"/>
    <w:rsid w:val="00792023"/>
    <w:rsid w:val="00792EBF"/>
    <w:rsid w:val="007E36F1"/>
    <w:rsid w:val="0080337A"/>
    <w:rsid w:val="008226B3"/>
    <w:rsid w:val="00857F74"/>
    <w:rsid w:val="00865799"/>
    <w:rsid w:val="00876DC1"/>
    <w:rsid w:val="008A7BBA"/>
    <w:rsid w:val="00911DFB"/>
    <w:rsid w:val="0091241E"/>
    <w:rsid w:val="009349EB"/>
    <w:rsid w:val="00961979"/>
    <w:rsid w:val="0098399D"/>
    <w:rsid w:val="009B4A37"/>
    <w:rsid w:val="009B7241"/>
    <w:rsid w:val="009C4DFD"/>
    <w:rsid w:val="00A0213C"/>
    <w:rsid w:val="00A215B3"/>
    <w:rsid w:val="00A30B81"/>
    <w:rsid w:val="00A4208E"/>
    <w:rsid w:val="00A434D6"/>
    <w:rsid w:val="00A645DC"/>
    <w:rsid w:val="00A65E20"/>
    <w:rsid w:val="00A9453B"/>
    <w:rsid w:val="00AC4FE2"/>
    <w:rsid w:val="00AD1833"/>
    <w:rsid w:val="00AE2E28"/>
    <w:rsid w:val="00AE3E2F"/>
    <w:rsid w:val="00AE4176"/>
    <w:rsid w:val="00AF70F3"/>
    <w:rsid w:val="00B26669"/>
    <w:rsid w:val="00B42C5A"/>
    <w:rsid w:val="00B5445D"/>
    <w:rsid w:val="00B67B59"/>
    <w:rsid w:val="00B92B01"/>
    <w:rsid w:val="00BE1B5E"/>
    <w:rsid w:val="00BE255C"/>
    <w:rsid w:val="00BE2853"/>
    <w:rsid w:val="00BF3229"/>
    <w:rsid w:val="00C2735B"/>
    <w:rsid w:val="00C4750F"/>
    <w:rsid w:val="00C87994"/>
    <w:rsid w:val="00C94CF1"/>
    <w:rsid w:val="00C94FA7"/>
    <w:rsid w:val="00CA7A5E"/>
    <w:rsid w:val="00CB00F6"/>
    <w:rsid w:val="00CB12DA"/>
    <w:rsid w:val="00CB3683"/>
    <w:rsid w:val="00CC500D"/>
    <w:rsid w:val="00CD51DF"/>
    <w:rsid w:val="00CF0502"/>
    <w:rsid w:val="00CF41A1"/>
    <w:rsid w:val="00CF6A0F"/>
    <w:rsid w:val="00D27DB6"/>
    <w:rsid w:val="00D56030"/>
    <w:rsid w:val="00D569BA"/>
    <w:rsid w:val="00D85EE4"/>
    <w:rsid w:val="00DA5A4C"/>
    <w:rsid w:val="00DD244B"/>
    <w:rsid w:val="00E36F8D"/>
    <w:rsid w:val="00E415AF"/>
    <w:rsid w:val="00EE33E2"/>
    <w:rsid w:val="00F046A2"/>
    <w:rsid w:val="00F05EC5"/>
    <w:rsid w:val="00F063FB"/>
    <w:rsid w:val="00F06766"/>
    <w:rsid w:val="00F15E0F"/>
    <w:rsid w:val="00F24057"/>
    <w:rsid w:val="00F27C19"/>
    <w:rsid w:val="00F3340A"/>
    <w:rsid w:val="00F47360"/>
    <w:rsid w:val="00F47A34"/>
    <w:rsid w:val="00F507AC"/>
    <w:rsid w:val="00F50DF7"/>
    <w:rsid w:val="00F54FA4"/>
    <w:rsid w:val="00F804A2"/>
    <w:rsid w:val="00FB13C2"/>
    <w:rsid w:val="00FB409F"/>
    <w:rsid w:val="00FB4656"/>
    <w:rsid w:val="00FB7ACA"/>
    <w:rsid w:val="01621E9D"/>
    <w:rsid w:val="02D21235"/>
    <w:rsid w:val="039B1FB4"/>
    <w:rsid w:val="06C97143"/>
    <w:rsid w:val="119E12C6"/>
    <w:rsid w:val="1A0A408D"/>
    <w:rsid w:val="276C42BE"/>
    <w:rsid w:val="2B810DE6"/>
    <w:rsid w:val="2F1C6CA7"/>
    <w:rsid w:val="32A15CFF"/>
    <w:rsid w:val="331F60C3"/>
    <w:rsid w:val="347567EA"/>
    <w:rsid w:val="3D007D61"/>
    <w:rsid w:val="3F761D61"/>
    <w:rsid w:val="3F822035"/>
    <w:rsid w:val="42E85DFC"/>
    <w:rsid w:val="4959594D"/>
    <w:rsid w:val="4CC67116"/>
    <w:rsid w:val="52644AC8"/>
    <w:rsid w:val="54002A5E"/>
    <w:rsid w:val="66C23886"/>
    <w:rsid w:val="685207C7"/>
    <w:rsid w:val="6C174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qFormat/>
    <w:uiPriority w:val="0"/>
    <w:pPr>
      <w:keepNext/>
      <w:keepLines/>
      <w:numPr>
        <w:ilvl w:val="0"/>
        <w:numId w:val="1"/>
      </w:numPr>
      <w:spacing w:line="560" w:lineRule="exact"/>
      <w:ind w:firstLine="880" w:firstLineChars="200"/>
      <w:outlineLvl w:val="0"/>
    </w:pPr>
    <w:rPr>
      <w:rFonts w:eastAsia="黑体" w:asciiTheme="minorAscii" w:hAnsiTheme="minorAscii"/>
      <w:kern w:val="44"/>
      <w:sz w:val="32"/>
    </w:rPr>
  </w:style>
  <w:style w:type="paragraph" w:styleId="4">
    <w:name w:val="heading 2"/>
    <w:basedOn w:val="1"/>
    <w:next w:val="1"/>
    <w:link w:val="35"/>
    <w:unhideWhenUsed/>
    <w:qFormat/>
    <w:uiPriority w:val="0"/>
    <w:pPr>
      <w:keepNext/>
      <w:keepLines/>
      <w:numPr>
        <w:ilvl w:val="1"/>
        <w:numId w:val="1"/>
      </w:numPr>
      <w:spacing w:beforeLines="0" w:beforeAutospacing="0" w:afterLines="0" w:afterAutospacing="0" w:line="560" w:lineRule="exact"/>
      <w:ind w:firstLine="880" w:firstLineChars="200"/>
      <w:outlineLvl w:val="1"/>
    </w:pPr>
    <w:rPr>
      <w:rFonts w:ascii="Arial" w:hAnsi="Arial" w:eastAsia="仿宋"/>
      <w:b/>
      <w:sz w:val="32"/>
    </w:rPr>
  </w:style>
  <w:style w:type="paragraph" w:styleId="5">
    <w:name w:val="heading 3"/>
    <w:basedOn w:val="1"/>
    <w:next w:val="1"/>
    <w:unhideWhenUsed/>
    <w:qFormat/>
    <w:uiPriority w:val="9"/>
    <w:pPr>
      <w:keepNext/>
      <w:keepLines/>
      <w:numPr>
        <w:ilvl w:val="2"/>
        <w:numId w:val="1"/>
      </w:numPr>
      <w:spacing w:beforeLines="0" w:beforeAutospacing="0" w:afterLines="0" w:afterAutospacing="0" w:line="360" w:lineRule="auto"/>
      <w:ind w:firstLine="400" w:firstLineChars="0"/>
      <w:outlineLvl w:val="2"/>
    </w:pPr>
    <w:rPr>
      <w:rFonts w:eastAsia="仿宋" w:asciiTheme="minorAscii" w:hAnsiTheme="minorAscii"/>
      <w:b/>
      <w:sz w:val="32"/>
    </w:rPr>
  </w:style>
  <w:style w:type="paragraph" w:styleId="6">
    <w:name w:val="heading 4"/>
    <w:basedOn w:val="1"/>
    <w:next w:val="1"/>
    <w:semiHidden/>
    <w:unhideWhenUsed/>
    <w:qFormat/>
    <w:uiPriority w:val="9"/>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8">
    <w:name w:val="heading 6"/>
    <w:basedOn w:val="1"/>
    <w:next w:val="1"/>
    <w:semiHidden/>
    <w:unhideWhenUsed/>
    <w:qFormat/>
    <w:uiPriority w:val="9"/>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0">
    <w:name w:val="heading 8"/>
    <w:basedOn w:val="1"/>
    <w:next w:val="1"/>
    <w:semiHidden/>
    <w:unhideWhenUsed/>
    <w:qFormat/>
    <w:uiPriority w:val="9"/>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2字符）"/>
    <w:basedOn w:val="1"/>
    <w:qFormat/>
    <w:uiPriority w:val="99"/>
    <w:pPr>
      <w:spacing w:line="360" w:lineRule="auto"/>
      <w:ind w:firstLine="420" w:firstLineChars="200"/>
    </w:pPr>
    <w:rPr>
      <w:rFonts w:eastAsia="宋体"/>
      <w:szCs w:val="21"/>
    </w:rPr>
  </w:style>
  <w:style w:type="paragraph" w:styleId="12">
    <w:name w:val="annotation text"/>
    <w:basedOn w:val="1"/>
    <w:link w:val="26"/>
    <w:semiHidden/>
    <w:unhideWhenUsed/>
    <w:qFormat/>
    <w:uiPriority w:val="99"/>
    <w:pPr>
      <w:jc w:val="left"/>
    </w:pPr>
  </w:style>
  <w:style w:type="paragraph" w:styleId="13">
    <w:name w:val="Body Text"/>
    <w:basedOn w:val="1"/>
    <w:next w:val="14"/>
    <w:semiHidden/>
    <w:unhideWhenUsed/>
    <w:qFormat/>
    <w:uiPriority w:val="99"/>
    <w:pPr>
      <w:spacing w:after="120"/>
    </w:pPr>
  </w:style>
  <w:style w:type="paragraph" w:styleId="14">
    <w:name w:val="Body Text First Indent"/>
    <w:basedOn w:val="13"/>
    <w:next w:val="1"/>
    <w:semiHidden/>
    <w:unhideWhenUsed/>
    <w:qFormat/>
    <w:uiPriority w:val="99"/>
    <w:pPr>
      <w:widowControl/>
      <w:ind w:firstLine="420" w:firstLineChars="100"/>
      <w:jc w:val="left"/>
    </w:pPr>
    <w:rPr>
      <w:rFonts w:ascii="宋体" w:hAnsi="宋体" w:eastAsia="宋体" w:cs="宋体"/>
      <w:kern w:val="0"/>
    </w:rPr>
  </w:style>
  <w:style w:type="paragraph" w:styleId="15">
    <w:name w:val="Balloon Text"/>
    <w:basedOn w:val="1"/>
    <w:link w:val="28"/>
    <w:semiHidden/>
    <w:unhideWhenUsed/>
    <w:qFormat/>
    <w:uiPriority w:val="99"/>
    <w:rPr>
      <w:rFonts w:ascii="宋体" w:eastAsia="宋体"/>
      <w:sz w:val="18"/>
      <w:szCs w:val="18"/>
    </w:rPr>
  </w:style>
  <w:style w:type="paragraph" w:styleId="16">
    <w:name w:val="footer"/>
    <w:basedOn w:val="1"/>
    <w:link w:val="31"/>
    <w:unhideWhenUsed/>
    <w:qFormat/>
    <w:uiPriority w:val="99"/>
    <w:pPr>
      <w:tabs>
        <w:tab w:val="center" w:pos="4153"/>
        <w:tab w:val="right" w:pos="8306"/>
      </w:tabs>
      <w:snapToGrid w:val="0"/>
      <w:jc w:val="left"/>
    </w:pPr>
    <w:rPr>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paragraph" w:styleId="19">
    <w:name w:val="annotation subject"/>
    <w:basedOn w:val="12"/>
    <w:next w:val="12"/>
    <w:link w:val="27"/>
    <w:semiHidden/>
    <w:unhideWhenUsed/>
    <w:qFormat/>
    <w:uiPriority w:val="99"/>
    <w:rPr>
      <w:b/>
      <w:bCs/>
    </w:rPr>
  </w:style>
  <w:style w:type="table" w:styleId="21">
    <w:name w:val="Table Grid"/>
    <w:basedOn w:val="20"/>
    <w:qFormat/>
    <w:uiPriority w:val="39"/>
    <w:pPr>
      <w:widowControl w:val="0"/>
      <w:jc w:val="both"/>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3">
    <w:name w:val="Strong"/>
    <w:basedOn w:val="22"/>
    <w:qFormat/>
    <w:uiPriority w:val="22"/>
    <w:rPr>
      <w:b/>
    </w:rPr>
  </w:style>
  <w:style w:type="character" w:styleId="24">
    <w:name w:val="Emphasis"/>
    <w:basedOn w:val="22"/>
    <w:qFormat/>
    <w:uiPriority w:val="20"/>
    <w:rPr>
      <w:i/>
    </w:rPr>
  </w:style>
  <w:style w:type="character" w:styleId="25">
    <w:name w:val="annotation reference"/>
    <w:basedOn w:val="22"/>
    <w:semiHidden/>
    <w:unhideWhenUsed/>
    <w:qFormat/>
    <w:uiPriority w:val="99"/>
    <w:rPr>
      <w:sz w:val="21"/>
      <w:szCs w:val="21"/>
    </w:rPr>
  </w:style>
  <w:style w:type="character" w:customStyle="1" w:styleId="26">
    <w:name w:val="批注文字 Char"/>
    <w:basedOn w:val="22"/>
    <w:link w:val="12"/>
    <w:semiHidden/>
    <w:qFormat/>
    <w:uiPriority w:val="99"/>
  </w:style>
  <w:style w:type="character" w:customStyle="1" w:styleId="27">
    <w:name w:val="批注主题 Char"/>
    <w:basedOn w:val="26"/>
    <w:link w:val="19"/>
    <w:semiHidden/>
    <w:qFormat/>
    <w:uiPriority w:val="99"/>
    <w:rPr>
      <w:b/>
      <w:bCs/>
    </w:rPr>
  </w:style>
  <w:style w:type="character" w:customStyle="1" w:styleId="28">
    <w:name w:val="批注框文本 Char"/>
    <w:basedOn w:val="22"/>
    <w:link w:val="15"/>
    <w:semiHidden/>
    <w:qFormat/>
    <w:uiPriority w:val="99"/>
    <w:rPr>
      <w:rFonts w:ascii="宋体" w:eastAsia="宋体"/>
      <w:sz w:val="18"/>
      <w:szCs w:val="18"/>
    </w:rPr>
  </w:style>
  <w:style w:type="paragraph" w:styleId="29">
    <w:name w:val="List Paragraph"/>
    <w:basedOn w:val="1"/>
    <w:qFormat/>
    <w:uiPriority w:val="34"/>
    <w:pPr>
      <w:ind w:firstLine="420" w:firstLineChars="200"/>
    </w:pPr>
    <w:rPr>
      <w:sz w:val="21"/>
      <w:szCs w:val="22"/>
    </w:rPr>
  </w:style>
  <w:style w:type="character" w:customStyle="1" w:styleId="30">
    <w:name w:val="页眉 Char"/>
    <w:basedOn w:val="22"/>
    <w:link w:val="17"/>
    <w:qFormat/>
    <w:uiPriority w:val="99"/>
    <w:rPr>
      <w:sz w:val="18"/>
      <w:szCs w:val="18"/>
    </w:rPr>
  </w:style>
  <w:style w:type="character" w:customStyle="1" w:styleId="31">
    <w:name w:val="页脚 Char"/>
    <w:basedOn w:val="22"/>
    <w:link w:val="16"/>
    <w:qFormat/>
    <w:uiPriority w:val="99"/>
    <w:rPr>
      <w:sz w:val="18"/>
      <w:szCs w:val="18"/>
    </w:rPr>
  </w:style>
  <w:style w:type="character" w:customStyle="1" w:styleId="32">
    <w:name w:val="font21"/>
    <w:qFormat/>
    <w:uiPriority w:val="0"/>
    <w:rPr>
      <w:rFonts w:hint="default" w:ascii="仿宋_GB2312" w:eastAsia="仿宋_GB2312" w:cs="仿宋_GB2312"/>
      <w:b/>
      <w:bCs/>
      <w:color w:val="000000"/>
      <w:sz w:val="24"/>
      <w:szCs w:val="24"/>
      <w:u w:val="none"/>
    </w:rPr>
  </w:style>
  <w:style w:type="character" w:customStyle="1" w:styleId="33">
    <w:name w:val="font111"/>
    <w:qFormat/>
    <w:uiPriority w:val="0"/>
    <w:rPr>
      <w:rFonts w:hint="eastAsia" w:ascii="宋体" w:hAnsi="宋体" w:eastAsia="宋体" w:cs="宋体"/>
      <w:b/>
      <w:bCs/>
      <w:color w:val="000000"/>
      <w:sz w:val="24"/>
      <w:szCs w:val="24"/>
      <w:u w:val="none"/>
    </w:rPr>
  </w:style>
  <w:style w:type="paragraph" w:customStyle="1" w:styleId="34">
    <w:name w:val="p0"/>
    <w:basedOn w:val="1"/>
    <w:qFormat/>
    <w:uiPriority w:val="0"/>
    <w:pPr>
      <w:widowControl/>
    </w:pPr>
    <w:rPr>
      <w:rFonts w:cs="宋体"/>
      <w:kern w:val="0"/>
      <w:szCs w:val="21"/>
    </w:rPr>
  </w:style>
  <w:style w:type="character" w:customStyle="1" w:styleId="35">
    <w:name w:val="标题 2 Char"/>
    <w:link w:val="4"/>
    <w:qFormat/>
    <w:uiPriority w:val="0"/>
    <w:rPr>
      <w:rFonts w:ascii="Arial" w:hAnsi="Arial" w:eastAsia="仿宋"/>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445</Words>
  <Characters>2541</Characters>
  <Lines>21</Lines>
  <Paragraphs>5</Paragraphs>
  <TotalTime>2</TotalTime>
  <ScaleCrop>false</ScaleCrop>
  <LinksUpToDate>false</LinksUpToDate>
  <CharactersWithSpaces>2981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2021-03-23T06:58:00Z</dcterms:created>
  <dc:creator>Microsoft Office 用户</dc:creator>
  <cp:lastModifiedBy>AHah</cp:lastModifiedBy>
  <dcterms:modified xsi:type="dcterms:W3CDTF">2021-11-18T01:42:20Z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B5BD76FFBCB94065B91D1FDE3A5929D5</vt:lpwstr>
  </property>
</Properties>
</file>