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乐清市旅游和体育事业发展中心2019年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2019年度报告根据新修订《中华人民共和国政府信息公开条例》（以下简称《条例》）的要求，由</w:t>
      </w:r>
      <w:r>
        <w:rPr>
          <w:rFonts w:hint="eastAsia" w:ascii="仿宋_GB2312" w:hAnsi="仿宋_GB2312" w:eastAsia="仿宋_GB2312" w:cs="仿宋_GB2312"/>
          <w:b w:val="0"/>
          <w:i w:val="0"/>
          <w:caps w:val="0"/>
          <w:color w:val="333333"/>
          <w:spacing w:val="0"/>
          <w:sz w:val="32"/>
          <w:szCs w:val="32"/>
          <w:shd w:val="clear" w:fill="FFFFFF"/>
          <w:lang w:eastAsia="zh-CN"/>
        </w:rPr>
        <w:t>乐清市旅游和体育事业发展中心</w:t>
      </w:r>
      <w:r>
        <w:rPr>
          <w:rFonts w:hint="eastAsia" w:ascii="仿宋_GB2312" w:hAnsi="仿宋_GB2312" w:eastAsia="仿宋_GB2312" w:cs="仿宋_GB2312"/>
          <w:b w:val="0"/>
          <w:i w:val="0"/>
          <w:caps w:val="0"/>
          <w:color w:val="333333"/>
          <w:spacing w:val="0"/>
          <w:sz w:val="32"/>
          <w:szCs w:val="32"/>
          <w:shd w:val="clear" w:fill="FFFFFF"/>
        </w:rPr>
        <w:t>编制而成。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2019年1月1日至2019年12月31日止。报告的电子版可在乐清市政府门户网站（http://www.yueqing.gov.cn/）上下载。如对报告</w:t>
      </w:r>
      <w:r>
        <w:rPr>
          <w:rFonts w:hint="eastAsia" w:ascii="仿宋_GB2312" w:hAnsi="仿宋_GB2312" w:eastAsia="仿宋_GB2312" w:cs="仿宋_GB2312"/>
          <w:sz w:val="32"/>
          <w:szCs w:val="32"/>
        </w:rPr>
        <w:t>内容有疑问，请与</w:t>
      </w:r>
      <w:r>
        <w:rPr>
          <w:rFonts w:hint="eastAsia" w:ascii="仿宋_GB2312" w:hAnsi="仿宋_GB2312" w:eastAsia="仿宋_GB2312" w:cs="仿宋_GB2312"/>
          <w:sz w:val="32"/>
          <w:szCs w:val="32"/>
          <w:lang w:eastAsia="zh-CN"/>
        </w:rPr>
        <w:t>旅体中心综合科</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28"/>
          <w:szCs w:val="28"/>
        </w:rPr>
        <w:t>0577-</w:t>
      </w:r>
      <w:r>
        <w:rPr>
          <w:rFonts w:hint="eastAsia" w:ascii="仿宋_GB2312" w:hAnsi="仿宋_GB2312" w:eastAsia="仿宋_GB2312" w:cs="仿宋_GB2312"/>
          <w:sz w:val="28"/>
          <w:szCs w:val="28"/>
          <w:lang w:val="en-US" w:eastAsia="zh-CN"/>
        </w:rPr>
        <w:t>62521918</w:t>
      </w:r>
      <w:r>
        <w:rPr>
          <w:rFonts w:hint="eastAsia" w:ascii="仿宋_GB2312" w:hAnsi="仿宋_GB2312" w:eastAsia="仿宋_GB2312" w:cs="仿宋_GB2312"/>
          <w:sz w:val="32"/>
          <w:szCs w:val="32"/>
        </w:rPr>
        <w:t>，电子邮件：</w:t>
      </w:r>
      <w:r>
        <w:rPr>
          <w:rFonts w:hint="eastAsia" w:ascii="仿宋_GB2312" w:hAnsi="仿宋_GB2312" w:eastAsia="仿宋_GB2312" w:cs="仿宋_GB2312"/>
          <w:sz w:val="32"/>
          <w:szCs w:val="32"/>
          <w:lang w:val="en-US" w:eastAsia="zh-CN"/>
        </w:rPr>
        <w:t>543994460@qq.com</w:t>
      </w:r>
      <w:r>
        <w:rPr>
          <w:rFonts w:hint="eastAsia" w:ascii="仿宋_GB2312" w:hAnsi="仿宋_GB2312" w:eastAsia="仿宋_GB2312" w:cs="仿宋_GB2312"/>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b w:val="0"/>
          <w:i w:val="0"/>
          <w:caps w:val="0"/>
          <w:color w:val="333333"/>
          <w:spacing w:val="0"/>
          <w:sz w:val="32"/>
          <w:szCs w:val="32"/>
          <w:shd w:val="clear" w:fill="FFFFFF"/>
        </w:rPr>
      </w:pPr>
      <w:r>
        <w:rPr>
          <w:rFonts w:hint="eastAsia" w:ascii="黑体" w:hAnsi="黑体" w:eastAsia="黑体" w:cs="黑体"/>
          <w:b w:val="0"/>
          <w:i w:val="0"/>
          <w:caps w:val="0"/>
          <w:color w:val="333333"/>
          <w:spacing w:val="0"/>
          <w:sz w:val="32"/>
          <w:szCs w:val="32"/>
          <w:shd w:val="clear" w:fill="FFFFFF"/>
        </w:rPr>
        <w:t>一、概况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rPr>
      </w:pPr>
      <w:r>
        <w:rPr>
          <w:rFonts w:hint="eastAsia" w:ascii="楷体_GB2312" w:hAnsi="楷体_GB2312" w:eastAsia="楷体_GB2312" w:cs="楷体_GB2312"/>
          <w:b w:val="0"/>
          <w:i w:val="0"/>
          <w:caps w:val="0"/>
          <w:color w:val="333333"/>
          <w:spacing w:val="0"/>
          <w:sz w:val="32"/>
          <w:szCs w:val="32"/>
          <w:shd w:val="clear" w:fill="FFFFFF"/>
        </w:rPr>
        <w:t>（一）组织领导。</w:t>
      </w:r>
      <w:r>
        <w:rPr>
          <w:rFonts w:hint="eastAsia" w:ascii="仿宋_GB2312" w:hAnsi="仿宋_GB2312" w:eastAsia="仿宋_GB2312" w:cs="仿宋_GB2312"/>
          <w:b w:val="0"/>
          <w:i w:val="0"/>
          <w:caps w:val="0"/>
          <w:color w:val="333333"/>
          <w:spacing w:val="0"/>
          <w:sz w:val="32"/>
          <w:szCs w:val="32"/>
          <w:shd w:val="clear" w:fill="FFFFFF"/>
        </w:rPr>
        <w:t>按照“主要领导亲自抓，分管领导具体抓，专门机构抓落实”的工作要求，及时调整政务公开</w:t>
      </w:r>
      <w:r>
        <w:rPr>
          <w:rFonts w:hint="eastAsia" w:ascii="仿宋_GB2312" w:hAnsi="仿宋_GB2312" w:eastAsia="仿宋_GB2312" w:cs="仿宋_GB2312"/>
          <w:b w:val="0"/>
          <w:i w:val="0"/>
          <w:caps w:val="0"/>
          <w:color w:val="333333"/>
          <w:spacing w:val="0"/>
          <w:sz w:val="32"/>
          <w:szCs w:val="32"/>
          <w:shd w:val="clear" w:fill="FFFFFF"/>
          <w:lang w:val="en-US" w:eastAsia="zh-CN"/>
        </w:rPr>
        <w:t>和</w:t>
      </w:r>
      <w:r>
        <w:rPr>
          <w:rFonts w:hint="eastAsia" w:ascii="仿宋_GB2312" w:hAnsi="仿宋_GB2312" w:eastAsia="仿宋_GB2312" w:cs="仿宋_GB2312"/>
          <w:b w:val="0"/>
          <w:i w:val="0"/>
          <w:caps w:val="0"/>
          <w:color w:val="333333"/>
          <w:spacing w:val="0"/>
          <w:sz w:val="32"/>
          <w:szCs w:val="32"/>
          <w:shd w:val="clear" w:fill="FFFFFF"/>
        </w:rPr>
        <w:t>信息工作领导小组，下设办公室，专人负责</w:t>
      </w:r>
      <w:r>
        <w:rPr>
          <w:rFonts w:hint="eastAsia" w:ascii="仿宋_GB2312" w:hAnsi="仿宋_GB2312" w:eastAsia="仿宋_GB2312" w:cs="仿宋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rPr>
        <w:t>层层抓落实。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楷体_GB2312" w:hAnsi="楷体_GB2312" w:eastAsia="楷体_GB2312" w:cs="楷体_GB2312"/>
          <w:b w:val="0"/>
          <w:i w:val="0"/>
          <w:caps w:val="0"/>
          <w:color w:val="333333"/>
          <w:spacing w:val="0"/>
          <w:sz w:val="32"/>
          <w:szCs w:val="32"/>
          <w:shd w:val="clear" w:fill="FFFFFF"/>
        </w:rPr>
        <w:t>（二）学习培训。</w:t>
      </w:r>
      <w:r>
        <w:rPr>
          <w:rFonts w:hint="eastAsia" w:ascii="仿宋_GB2312" w:hAnsi="仿宋_GB2312" w:eastAsia="仿宋_GB2312" w:cs="仿宋_GB2312"/>
          <w:b w:val="0"/>
          <w:i w:val="0"/>
          <w:caps w:val="0"/>
          <w:color w:val="333333"/>
          <w:spacing w:val="0"/>
          <w:sz w:val="32"/>
          <w:szCs w:val="32"/>
          <w:shd w:val="clear" w:fill="FFFFFF"/>
          <w:lang w:val="en-US" w:eastAsia="zh-CN"/>
        </w:rPr>
        <w:t>召开专题会议</w:t>
      </w:r>
      <w:r>
        <w:rPr>
          <w:rFonts w:hint="eastAsia" w:ascii="仿宋_GB2312" w:hAnsi="仿宋_GB2312" w:eastAsia="仿宋_GB2312" w:cs="仿宋_GB2312"/>
          <w:b w:val="0"/>
          <w:i w:val="0"/>
          <w:caps w:val="0"/>
          <w:color w:val="333333"/>
          <w:spacing w:val="0"/>
          <w:sz w:val="32"/>
          <w:szCs w:val="32"/>
          <w:shd w:val="clear" w:fill="FFFFFF"/>
        </w:rPr>
        <w:t>学习宣传</w:t>
      </w:r>
      <w:r>
        <w:rPr>
          <w:rFonts w:hint="eastAsia" w:ascii="仿宋_GB2312" w:hAnsi="仿宋_GB2312" w:eastAsia="仿宋_GB2312" w:cs="仿宋_GB2312"/>
          <w:b w:val="0"/>
          <w:i w:val="0"/>
          <w:caps w:val="0"/>
          <w:color w:val="333333"/>
          <w:spacing w:val="0"/>
          <w:sz w:val="32"/>
          <w:szCs w:val="32"/>
          <w:shd w:val="clear" w:fill="FFFFFF"/>
          <w:lang w:val="en-US" w:eastAsia="zh-CN"/>
        </w:rPr>
        <w:t>新时代、新矛盾背景下</w:t>
      </w:r>
      <w:r>
        <w:rPr>
          <w:rFonts w:hint="eastAsia" w:ascii="仿宋_GB2312" w:hAnsi="仿宋_GB2312" w:eastAsia="仿宋_GB2312" w:cs="仿宋_GB2312"/>
          <w:b w:val="0"/>
          <w:i w:val="0"/>
          <w:caps w:val="0"/>
          <w:color w:val="333333"/>
          <w:spacing w:val="0"/>
          <w:sz w:val="32"/>
          <w:szCs w:val="32"/>
          <w:shd w:val="clear" w:fill="FFFFFF"/>
        </w:rPr>
        <w:t>政府信息公开工作的</w:t>
      </w:r>
      <w:r>
        <w:rPr>
          <w:rFonts w:hint="eastAsia" w:ascii="仿宋_GB2312" w:hAnsi="仿宋_GB2312" w:eastAsia="仿宋_GB2312" w:cs="仿宋_GB2312"/>
          <w:b w:val="0"/>
          <w:i w:val="0"/>
          <w:caps w:val="0"/>
          <w:color w:val="333333"/>
          <w:spacing w:val="0"/>
          <w:sz w:val="32"/>
          <w:szCs w:val="32"/>
          <w:shd w:val="clear" w:fill="FFFFFF"/>
          <w:lang w:val="en-US" w:eastAsia="zh-CN"/>
        </w:rPr>
        <w:t>必然</w:t>
      </w:r>
      <w:r>
        <w:rPr>
          <w:rFonts w:hint="eastAsia" w:ascii="仿宋_GB2312" w:hAnsi="仿宋_GB2312" w:eastAsia="仿宋_GB2312" w:cs="仿宋_GB2312"/>
          <w:b w:val="0"/>
          <w:i w:val="0"/>
          <w:caps w:val="0"/>
          <w:color w:val="333333"/>
          <w:spacing w:val="0"/>
          <w:sz w:val="32"/>
          <w:szCs w:val="32"/>
          <w:shd w:val="clear" w:fill="FFFFFF"/>
        </w:rPr>
        <w:t>性</w:t>
      </w:r>
      <w:r>
        <w:rPr>
          <w:rFonts w:hint="eastAsia" w:ascii="仿宋_GB2312" w:hAnsi="仿宋_GB2312" w:eastAsia="仿宋_GB2312" w:cs="仿宋_GB2312"/>
          <w:b w:val="0"/>
          <w:i w:val="0"/>
          <w:caps w:val="0"/>
          <w:color w:val="333333"/>
          <w:spacing w:val="0"/>
          <w:sz w:val="32"/>
          <w:szCs w:val="32"/>
          <w:shd w:val="clear" w:fill="FFFFFF"/>
          <w:lang w:eastAsia="zh-CN"/>
        </w:rPr>
        <w:t>，加强</w:t>
      </w:r>
      <w:r>
        <w:rPr>
          <w:rFonts w:hint="eastAsia" w:ascii="仿宋_GB2312" w:hAnsi="仿宋_GB2312" w:eastAsia="仿宋_GB2312" w:cs="仿宋_GB2312"/>
          <w:b w:val="0"/>
          <w:i w:val="0"/>
          <w:caps w:val="0"/>
          <w:color w:val="333333"/>
          <w:spacing w:val="0"/>
          <w:sz w:val="32"/>
          <w:szCs w:val="32"/>
          <w:shd w:val="clear" w:fill="FFFFFF"/>
          <w:lang w:val="en-US" w:eastAsia="zh-CN"/>
        </w:rPr>
        <w:t>新修订</w:t>
      </w:r>
      <w:r>
        <w:rPr>
          <w:rFonts w:hint="eastAsia" w:ascii="仿宋_GB2312" w:hAnsi="仿宋_GB2312" w:eastAsia="仿宋_GB2312" w:cs="仿宋_GB2312"/>
          <w:b w:val="0"/>
          <w:i w:val="0"/>
          <w:caps w:val="0"/>
          <w:color w:val="333333"/>
          <w:spacing w:val="0"/>
          <w:sz w:val="32"/>
          <w:szCs w:val="32"/>
          <w:shd w:val="clear" w:fill="FFFFFF"/>
        </w:rPr>
        <w:t>《条例》</w:t>
      </w:r>
      <w:r>
        <w:rPr>
          <w:rFonts w:hint="eastAsia" w:ascii="仿宋_GB2312" w:hAnsi="仿宋_GB2312" w:eastAsia="仿宋_GB2312" w:cs="仿宋_GB2312"/>
          <w:b w:val="0"/>
          <w:i w:val="0"/>
          <w:caps w:val="0"/>
          <w:color w:val="333333"/>
          <w:spacing w:val="0"/>
          <w:sz w:val="32"/>
          <w:szCs w:val="32"/>
          <w:shd w:val="clear" w:fill="FFFFFF"/>
          <w:lang w:eastAsia="zh-CN"/>
        </w:rPr>
        <w:t>宣传工作，</w:t>
      </w:r>
      <w:r>
        <w:rPr>
          <w:rFonts w:hint="eastAsia" w:ascii="仿宋_GB2312" w:hAnsi="仿宋_GB2312" w:eastAsia="仿宋_GB2312" w:cs="仿宋_GB2312"/>
          <w:b w:val="0"/>
          <w:i w:val="0"/>
          <w:caps w:val="0"/>
          <w:color w:val="333333"/>
          <w:spacing w:val="0"/>
          <w:sz w:val="32"/>
          <w:szCs w:val="32"/>
          <w:shd w:val="clear" w:fill="FFFFFF"/>
        </w:rPr>
        <w:t>主动</w:t>
      </w:r>
      <w:r>
        <w:rPr>
          <w:rFonts w:hint="eastAsia" w:ascii="仿宋_GB2312" w:hAnsi="仿宋_GB2312" w:eastAsia="仿宋_GB2312" w:cs="仿宋_GB2312"/>
          <w:b w:val="0"/>
          <w:i w:val="0"/>
          <w:caps w:val="0"/>
          <w:color w:val="333333"/>
          <w:spacing w:val="0"/>
          <w:sz w:val="32"/>
          <w:szCs w:val="32"/>
          <w:shd w:val="clear" w:fill="FFFFFF"/>
          <w:lang w:val="en-US" w:eastAsia="zh-CN"/>
        </w:rPr>
        <w:t>贯彻新修订《条例》，</w:t>
      </w:r>
      <w:r>
        <w:rPr>
          <w:rFonts w:hint="eastAsia" w:ascii="仿宋_GB2312" w:hAnsi="仿宋_GB2312" w:eastAsia="仿宋_GB2312" w:cs="仿宋_GB2312"/>
          <w:b w:val="0"/>
          <w:i w:val="0"/>
          <w:caps w:val="0"/>
          <w:color w:val="333333"/>
          <w:spacing w:val="0"/>
          <w:sz w:val="32"/>
          <w:szCs w:val="32"/>
          <w:shd w:val="clear" w:fill="FFFFFF"/>
        </w:rPr>
        <w:t>确保政府信息</w:t>
      </w:r>
      <w:r>
        <w:rPr>
          <w:rFonts w:hint="eastAsia" w:ascii="仿宋_GB2312" w:hAnsi="仿宋_GB2312" w:eastAsia="仿宋_GB2312" w:cs="仿宋_GB2312"/>
          <w:b w:val="0"/>
          <w:i w:val="0"/>
          <w:caps w:val="0"/>
          <w:color w:val="333333"/>
          <w:spacing w:val="0"/>
          <w:sz w:val="32"/>
          <w:szCs w:val="32"/>
          <w:shd w:val="clear" w:fill="FFFFFF"/>
          <w:lang w:val="en-US" w:eastAsia="zh-CN"/>
        </w:rPr>
        <w:t>应公开尽公开。</w:t>
      </w:r>
      <w:r>
        <w:rPr>
          <w:rFonts w:hint="eastAsia" w:ascii="仿宋_GB2312" w:hAnsi="仿宋_GB2312" w:eastAsia="仿宋_GB2312" w:cs="仿宋_GB2312"/>
          <w:b w:val="0"/>
          <w:i w:val="0"/>
          <w:caps w:val="0"/>
          <w:color w:val="333333"/>
          <w:spacing w:val="0"/>
          <w:sz w:val="32"/>
          <w:szCs w:val="32"/>
          <w:shd w:val="clear" w:fill="FFFFFF"/>
        </w:rPr>
        <w:t>派员参加相关主题培训，增强对信息公开的主体和原则、范围和内容、方式和程序的了解</w:t>
      </w:r>
      <w:r>
        <w:rPr>
          <w:rFonts w:hint="eastAsia" w:ascii="仿宋_GB2312" w:hAnsi="仿宋_GB2312" w:eastAsia="仿宋_GB2312" w:cs="仿宋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lang w:val="en-US" w:eastAsia="zh-CN"/>
        </w:rPr>
        <w:t>确保</w:t>
      </w:r>
      <w:r>
        <w:rPr>
          <w:rFonts w:hint="eastAsia" w:ascii="仿宋_GB2312" w:hAnsi="仿宋_GB2312" w:eastAsia="仿宋_GB2312" w:cs="仿宋_GB2312"/>
          <w:b w:val="0"/>
          <w:i w:val="0"/>
          <w:caps w:val="0"/>
          <w:color w:val="333333"/>
          <w:spacing w:val="0"/>
          <w:sz w:val="32"/>
          <w:szCs w:val="32"/>
          <w:shd w:val="clear" w:fill="FFFFFF"/>
        </w:rPr>
        <w:t>政府信息</w:t>
      </w:r>
      <w:r>
        <w:rPr>
          <w:rFonts w:hint="eastAsia" w:ascii="仿宋_GB2312" w:hAnsi="仿宋_GB2312" w:eastAsia="仿宋_GB2312" w:cs="仿宋_GB2312"/>
          <w:b w:val="0"/>
          <w:i w:val="0"/>
          <w:caps w:val="0"/>
          <w:color w:val="333333"/>
          <w:spacing w:val="0"/>
          <w:sz w:val="32"/>
          <w:szCs w:val="32"/>
          <w:shd w:val="clear" w:fill="FFFFFF"/>
          <w:lang w:val="en-US" w:eastAsia="zh-CN"/>
        </w:rPr>
        <w:t>应公开规范操作</w:t>
      </w:r>
      <w:r>
        <w:rPr>
          <w:rFonts w:hint="eastAsia" w:ascii="仿宋_GB2312" w:hAnsi="仿宋_GB2312" w:eastAsia="仿宋_GB2312" w:cs="仿宋_GB2312"/>
          <w:b w:val="0"/>
          <w:i w:val="0"/>
          <w:caps w:val="0"/>
          <w:color w:val="333333"/>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rPr>
      </w:pPr>
      <w:r>
        <w:rPr>
          <w:rFonts w:hint="eastAsia" w:ascii="楷体_GB2312" w:hAnsi="楷体_GB2312" w:eastAsia="楷体_GB2312" w:cs="楷体_GB2312"/>
          <w:b w:val="0"/>
          <w:i w:val="0"/>
          <w:caps w:val="0"/>
          <w:color w:val="333333"/>
          <w:spacing w:val="0"/>
          <w:sz w:val="32"/>
          <w:szCs w:val="32"/>
          <w:shd w:val="clear" w:fill="FFFFFF"/>
        </w:rPr>
        <w:t>（三）制度建设。</w:t>
      </w:r>
      <w:r>
        <w:rPr>
          <w:rFonts w:hint="eastAsia" w:ascii="仿宋_GB2312" w:hAnsi="仿宋_GB2312" w:eastAsia="仿宋_GB2312" w:cs="仿宋_GB2312"/>
          <w:b w:val="0"/>
          <w:i w:val="0"/>
          <w:caps w:val="0"/>
          <w:color w:val="333333"/>
          <w:spacing w:val="0"/>
          <w:sz w:val="32"/>
          <w:szCs w:val="32"/>
          <w:shd w:val="clear" w:fill="FFFFFF"/>
        </w:rPr>
        <w:t>建立并执行主动公开、依申请公开的工作制度；建立并执行政府信息公开</w:t>
      </w:r>
      <w:r>
        <w:rPr>
          <w:rFonts w:hint="eastAsia" w:ascii="仿宋_GB2312" w:hAnsi="仿宋_GB2312" w:eastAsia="仿宋_GB2312" w:cs="仿宋_GB2312"/>
          <w:b w:val="0"/>
          <w:i w:val="0"/>
          <w:caps w:val="0"/>
          <w:color w:val="333333"/>
          <w:spacing w:val="0"/>
          <w:sz w:val="32"/>
          <w:szCs w:val="32"/>
          <w:shd w:val="clear" w:fill="FFFFFF"/>
          <w:lang w:val="en-US" w:eastAsia="zh-CN"/>
        </w:rPr>
        <w:t>预审</w:t>
      </w:r>
      <w:r>
        <w:rPr>
          <w:rFonts w:hint="eastAsia" w:ascii="仿宋_GB2312" w:hAnsi="仿宋_GB2312" w:eastAsia="仿宋_GB2312" w:cs="仿宋_GB2312"/>
          <w:b w:val="0"/>
          <w:i w:val="0"/>
          <w:caps w:val="0"/>
          <w:color w:val="333333"/>
          <w:spacing w:val="0"/>
          <w:sz w:val="32"/>
          <w:szCs w:val="32"/>
          <w:shd w:val="clear" w:fill="FFFFFF"/>
        </w:rPr>
        <w:t>制度；建立并执行政府信息公开工作举报受理和责任追究制度。严格执行信息依申请公开办法、信息公开保密审核办法等政府信息公开工作制度，确保信息公开工作规范化、法制化、常规化，切实保障公民的知情权、参与权和监督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楷体_GB2312" w:hAnsi="楷体_GB2312" w:eastAsia="楷体_GB2312" w:cs="楷体_GB2312"/>
          <w:b w:val="0"/>
          <w:i w:val="0"/>
          <w:caps w:val="0"/>
          <w:color w:val="333333"/>
          <w:spacing w:val="0"/>
          <w:sz w:val="32"/>
          <w:szCs w:val="32"/>
          <w:shd w:val="clear" w:fill="FFFFFF"/>
        </w:rPr>
        <w:t>（四）</w:t>
      </w:r>
      <w:r>
        <w:rPr>
          <w:rFonts w:hint="eastAsia" w:ascii="楷体_GB2312" w:hAnsi="楷体_GB2312" w:eastAsia="楷体_GB2312" w:cs="楷体_GB2312"/>
          <w:b w:val="0"/>
          <w:i w:val="0"/>
          <w:caps w:val="0"/>
          <w:color w:val="333333"/>
          <w:spacing w:val="0"/>
          <w:sz w:val="32"/>
          <w:szCs w:val="32"/>
          <w:shd w:val="clear" w:fill="FFFFFF"/>
          <w:lang w:val="en-US" w:eastAsia="zh-CN"/>
        </w:rPr>
        <w:t>重点领域</w:t>
      </w:r>
      <w:r>
        <w:rPr>
          <w:rFonts w:hint="eastAsia" w:ascii="楷体_GB2312" w:hAnsi="楷体_GB2312" w:eastAsia="楷体_GB2312" w:cs="楷体_GB2312"/>
          <w:b w:val="0"/>
          <w:i w:val="0"/>
          <w:caps w:val="0"/>
          <w:color w:val="333333"/>
          <w:spacing w:val="0"/>
          <w:sz w:val="32"/>
          <w:szCs w:val="32"/>
          <w:shd w:val="clear" w:fill="FFFFFF"/>
        </w:rPr>
        <w:t>主动公开。</w:t>
      </w:r>
      <w:r>
        <w:rPr>
          <w:rFonts w:hint="eastAsia" w:ascii="仿宋_GB2312" w:hAnsi="仿宋_GB2312" w:eastAsia="仿宋_GB2312" w:cs="仿宋_GB2312"/>
          <w:b w:val="0"/>
          <w:i w:val="0"/>
          <w:caps w:val="0"/>
          <w:color w:val="333333"/>
          <w:spacing w:val="0"/>
          <w:sz w:val="32"/>
          <w:szCs w:val="32"/>
          <w:shd w:val="clear" w:fill="FFFFFF"/>
        </w:rPr>
        <w:t>政府信息公开</w:t>
      </w:r>
      <w:r>
        <w:rPr>
          <w:rFonts w:hint="eastAsia" w:ascii="仿宋_GB2312" w:hAnsi="仿宋_GB2312" w:eastAsia="仿宋_GB2312" w:cs="仿宋_GB2312"/>
          <w:b w:val="0"/>
          <w:i w:val="0"/>
          <w:caps w:val="0"/>
          <w:color w:val="333333"/>
          <w:spacing w:val="0"/>
          <w:sz w:val="32"/>
          <w:szCs w:val="32"/>
          <w:shd w:val="clear" w:fill="FFFFFF"/>
          <w:lang w:val="en-US" w:eastAsia="zh-CN"/>
        </w:rPr>
        <w:t>是</w:t>
      </w:r>
      <w:r>
        <w:rPr>
          <w:rFonts w:hint="eastAsia" w:ascii="仿宋_GB2312" w:hAnsi="仿宋_GB2312" w:eastAsia="仿宋_GB2312" w:cs="仿宋_GB2312"/>
          <w:b w:val="0"/>
          <w:i w:val="0"/>
          <w:caps w:val="0"/>
          <w:color w:val="333333"/>
          <w:spacing w:val="0"/>
          <w:sz w:val="32"/>
          <w:szCs w:val="32"/>
          <w:shd w:val="clear" w:fill="FFFFFF"/>
        </w:rPr>
        <w:t>阳光政务的重要内容，公开内容</w:t>
      </w:r>
      <w:r>
        <w:rPr>
          <w:rFonts w:hint="eastAsia" w:ascii="仿宋_GB2312" w:hAnsi="仿宋_GB2312" w:eastAsia="仿宋_GB2312" w:cs="仿宋_GB2312"/>
          <w:b w:val="0"/>
          <w:i w:val="0"/>
          <w:caps w:val="0"/>
          <w:color w:val="333333"/>
          <w:spacing w:val="0"/>
          <w:sz w:val="32"/>
          <w:szCs w:val="32"/>
          <w:shd w:val="clear" w:fill="FFFFFF"/>
          <w:lang w:val="en-US" w:eastAsia="zh-CN"/>
        </w:rPr>
        <w:t>不仅</w:t>
      </w:r>
      <w:r>
        <w:rPr>
          <w:rFonts w:hint="eastAsia" w:ascii="仿宋_GB2312" w:hAnsi="仿宋_GB2312" w:eastAsia="仿宋_GB2312" w:cs="仿宋_GB2312"/>
          <w:b w:val="0"/>
          <w:i w:val="0"/>
          <w:caps w:val="0"/>
          <w:color w:val="333333"/>
          <w:spacing w:val="0"/>
          <w:sz w:val="32"/>
          <w:szCs w:val="32"/>
          <w:shd w:val="clear" w:fill="FFFFFF"/>
        </w:rPr>
        <w:t>涵盖了机构职能、机构领导及分工、内设机构及职能、</w:t>
      </w:r>
      <w:r>
        <w:rPr>
          <w:rFonts w:hint="eastAsia" w:ascii="仿宋_GB2312" w:hAnsi="仿宋_GB2312" w:eastAsia="仿宋_GB2312" w:cs="仿宋_GB2312"/>
          <w:b w:val="0"/>
          <w:i w:val="0"/>
          <w:caps w:val="0"/>
          <w:color w:val="333333"/>
          <w:spacing w:val="0"/>
          <w:sz w:val="32"/>
          <w:szCs w:val="32"/>
          <w:shd w:val="clear" w:fill="FFFFFF"/>
          <w:lang w:val="en-US" w:eastAsia="zh-CN"/>
        </w:rPr>
        <w:t>旅体中心</w:t>
      </w:r>
      <w:r>
        <w:rPr>
          <w:rFonts w:hint="eastAsia" w:ascii="仿宋_GB2312" w:hAnsi="仿宋_GB2312" w:eastAsia="仿宋_GB2312" w:cs="仿宋_GB2312"/>
          <w:b w:val="0"/>
          <w:i w:val="0"/>
          <w:caps w:val="0"/>
          <w:color w:val="333333"/>
          <w:spacing w:val="0"/>
          <w:sz w:val="32"/>
          <w:szCs w:val="32"/>
          <w:shd w:val="clear" w:fill="FFFFFF"/>
        </w:rPr>
        <w:t>文件和人事信息等，而且公</w:t>
      </w:r>
      <w:r>
        <w:rPr>
          <w:rFonts w:hint="eastAsia" w:ascii="仿宋_GB2312" w:hAnsi="仿宋_GB2312" w:eastAsia="仿宋_GB2312" w:cs="仿宋_GB2312"/>
          <w:b w:val="0"/>
          <w:i w:val="0"/>
          <w:caps w:val="0"/>
          <w:color w:val="333333"/>
          <w:spacing w:val="0"/>
          <w:sz w:val="32"/>
          <w:szCs w:val="32"/>
          <w:shd w:val="clear" w:fill="FFFFFF"/>
          <w:lang w:val="en-US" w:eastAsia="zh-CN"/>
        </w:rPr>
        <w:t>示大额采购、向社会购买服务、引导资金发放清单、部门预决算等财务信息。</w:t>
      </w:r>
      <w:r>
        <w:rPr>
          <w:rFonts w:hint="eastAsia" w:ascii="仿宋_GB2312" w:hAnsi="仿宋_GB2312" w:eastAsia="仿宋_GB2312" w:cs="仿宋_GB2312"/>
          <w:b w:val="0"/>
          <w:i w:val="0"/>
          <w:caps w:val="0"/>
          <w:color w:val="333333"/>
          <w:spacing w:val="0"/>
          <w:sz w:val="32"/>
          <w:szCs w:val="32"/>
          <w:shd w:val="clear" w:fill="FFFFFF"/>
        </w:rPr>
        <w:t>除了在“中国乐清”网中开设子网站之外，</w:t>
      </w:r>
      <w:r>
        <w:rPr>
          <w:rFonts w:hint="eastAsia" w:ascii="仿宋_GB2312" w:hAnsi="仿宋_GB2312" w:eastAsia="仿宋_GB2312" w:cs="仿宋_GB2312"/>
          <w:b w:val="0"/>
          <w:i w:val="0"/>
          <w:caps w:val="0"/>
          <w:color w:val="333333"/>
          <w:spacing w:val="0"/>
          <w:sz w:val="32"/>
          <w:szCs w:val="32"/>
          <w:shd w:val="clear" w:fill="FFFFFF"/>
          <w:lang w:val="en-US" w:eastAsia="zh-CN"/>
        </w:rPr>
        <w:t>通过浙江政务网公开行政许可和行政确认办事指南，落实最多跑一次改革。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黑体"/>
          <w:b w:val="0"/>
          <w:i w:val="0"/>
          <w:caps w:val="0"/>
          <w:color w:val="333333"/>
          <w:spacing w:val="0"/>
          <w:sz w:val="32"/>
          <w:szCs w:val="32"/>
          <w:shd w:val="clear" w:fill="FFFFFF"/>
        </w:rPr>
      </w:pPr>
      <w:bookmarkStart w:id="0" w:name="_GoBack"/>
      <w:r>
        <w:rPr>
          <w:rFonts w:hint="eastAsia" w:ascii="黑体" w:hAnsi="黑体" w:eastAsia="黑体" w:cs="黑体"/>
          <w:b w:val="0"/>
          <w:i w:val="0"/>
          <w:caps w:val="0"/>
          <w:color w:val="333333"/>
          <w:spacing w:val="0"/>
          <w:sz w:val="32"/>
          <w:szCs w:val="32"/>
          <w:shd w:val="clear" w:fill="FFFFFF"/>
        </w:rPr>
        <w:t>二、主动公开政府信息情况</w:t>
      </w:r>
    </w:p>
    <w:tbl>
      <w:tblPr>
        <w:tblStyle w:val="5"/>
        <w:tblW w:w="0" w:type="auto"/>
        <w:jc w:val="center"/>
        <w:tblLayout w:type="autofit"/>
        <w:tblCellMar>
          <w:top w:w="0" w:type="dxa"/>
          <w:left w:w="0" w:type="dxa"/>
          <w:bottom w:w="0" w:type="dxa"/>
          <w:right w:w="0" w:type="dxa"/>
        </w:tblCellMar>
      </w:tblPr>
      <w:tblGrid>
        <w:gridCol w:w="2616"/>
        <w:gridCol w:w="1896"/>
        <w:gridCol w:w="1296"/>
        <w:gridCol w:w="1896"/>
      </w:tblGrid>
      <w:tr>
        <w:tblPrEx>
          <w:tblCellMar>
            <w:top w:w="0" w:type="dxa"/>
            <w:left w:w="0" w:type="dxa"/>
            <w:bottom w:w="0" w:type="dxa"/>
            <w:right w:w="0" w:type="dxa"/>
          </w:tblCellMar>
        </w:tblPrEx>
        <w:trPr>
          <w:trHeight w:val="495"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第二十条第（一）项</w:t>
            </w:r>
          </w:p>
        </w:tc>
      </w:tr>
      <w:tr>
        <w:tblPrEx>
          <w:tblCellMar>
            <w:top w:w="0" w:type="dxa"/>
            <w:left w:w="0" w:type="dxa"/>
            <w:bottom w:w="0" w:type="dxa"/>
            <w:right w:w="0" w:type="dxa"/>
          </w:tblCellMar>
        </w:tblPrEx>
        <w:trPr>
          <w:trHeight w:val="882"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信息内容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本年新</w:t>
            </w:r>
            <w:r>
              <w:rPr>
                <w:rFonts w:hint="eastAsia" w:ascii="仿宋_GB2312" w:hAnsi="宋体" w:cs="宋体"/>
                <w:color w:val="000000"/>
                <w:kern w:val="0"/>
                <w:sz w:val="24"/>
                <w:szCs w:val="24"/>
              </w:rPr>
              <w:br w:type="textWrapping"/>
            </w:r>
            <w:r>
              <w:rPr>
                <w:rFonts w:hint="eastAsia" w:ascii="仿宋_GB2312" w:hAnsi="宋体" w:cs="宋体"/>
                <w:kern w:val="0"/>
                <w:sz w:val="24"/>
                <w:szCs w:val="24"/>
              </w:rPr>
              <w:t>制作数量</w:t>
            </w:r>
          </w:p>
        </w:tc>
        <w:tc>
          <w:tcPr>
            <w:tcW w:w="0" w:type="auto"/>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本年新</w:t>
            </w:r>
            <w:r>
              <w:rPr>
                <w:rFonts w:hint="eastAsia" w:ascii="仿宋_GB2312" w:hAnsi="宋体" w:cs="宋体"/>
                <w:color w:val="000000"/>
                <w:kern w:val="0"/>
                <w:sz w:val="24"/>
                <w:szCs w:val="24"/>
              </w:rPr>
              <w:br w:type="textWrapping"/>
            </w:r>
            <w:r>
              <w:rPr>
                <w:rFonts w:hint="eastAsia" w:ascii="仿宋_GB2312" w:hAnsi="宋体" w:cs="宋体"/>
                <w:kern w:val="0"/>
                <w:sz w:val="24"/>
                <w:szCs w:val="24"/>
              </w:rPr>
              <w:t>公开数量</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对外公开总数量</w:t>
            </w:r>
          </w:p>
        </w:tc>
      </w:tr>
      <w:tr>
        <w:tblPrEx>
          <w:tblCellMar>
            <w:top w:w="0" w:type="dxa"/>
            <w:left w:w="0" w:type="dxa"/>
            <w:bottom w:w="0" w:type="dxa"/>
            <w:right w:w="0" w:type="dxa"/>
          </w:tblCellMar>
        </w:tblPrEx>
        <w:trPr>
          <w:trHeight w:val="523"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规章</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规范性文件</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480"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第二十条第（五）项</w:t>
            </w:r>
          </w:p>
        </w:tc>
      </w:tr>
      <w:tr>
        <w:tblPrEx>
          <w:tblCellMar>
            <w:top w:w="0" w:type="dxa"/>
            <w:left w:w="0" w:type="dxa"/>
            <w:bottom w:w="0" w:type="dxa"/>
            <w:right w:w="0" w:type="dxa"/>
          </w:tblCellMar>
        </w:tblPrEx>
        <w:trPr>
          <w:trHeight w:val="63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信息内容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上一年项目数量</w:t>
            </w:r>
          </w:p>
        </w:tc>
        <w:tc>
          <w:tcPr>
            <w:tcW w:w="0" w:type="auto"/>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本年增/减</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处理决定数量</w:t>
            </w:r>
          </w:p>
        </w:tc>
      </w:tr>
      <w:tr>
        <w:tblPrEx>
          <w:tblCellMar>
            <w:top w:w="0" w:type="dxa"/>
            <w:left w:w="0" w:type="dxa"/>
            <w:bottom w:w="0" w:type="dxa"/>
            <w:right w:w="0" w:type="dxa"/>
          </w:tblCellMar>
        </w:tblPrEx>
        <w:trPr>
          <w:trHeight w:val="528"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行政许可</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550"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其他对外管理服务事项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406"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第二十条第（六）项</w:t>
            </w:r>
          </w:p>
        </w:tc>
      </w:tr>
      <w:tr>
        <w:tblPrEx>
          <w:tblCellMar>
            <w:top w:w="0" w:type="dxa"/>
            <w:left w:w="0" w:type="dxa"/>
            <w:bottom w:w="0" w:type="dxa"/>
            <w:right w:w="0" w:type="dxa"/>
          </w:tblCellMar>
        </w:tblPrEx>
        <w:trPr>
          <w:trHeight w:val="63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信息内容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上一年项目数量</w:t>
            </w:r>
          </w:p>
        </w:tc>
        <w:tc>
          <w:tcPr>
            <w:tcW w:w="0" w:type="auto"/>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本年增/减</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处理决定数量</w:t>
            </w:r>
          </w:p>
        </w:tc>
      </w:tr>
      <w:tr>
        <w:tblPrEx>
          <w:tblCellMar>
            <w:top w:w="0" w:type="dxa"/>
            <w:left w:w="0" w:type="dxa"/>
            <w:bottom w:w="0" w:type="dxa"/>
            <w:right w:w="0" w:type="dxa"/>
          </w:tblCellMar>
        </w:tblPrEx>
        <w:trPr>
          <w:trHeight w:val="430"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行政处罚</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409"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行政强制</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r>
      <w:tr>
        <w:tblPrEx>
          <w:tblCellMar>
            <w:top w:w="0" w:type="dxa"/>
            <w:left w:w="0" w:type="dxa"/>
            <w:bottom w:w="0" w:type="dxa"/>
            <w:right w:w="0" w:type="dxa"/>
          </w:tblCellMar>
        </w:tblPrEx>
        <w:trPr>
          <w:trHeight w:val="474"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第二十条第（八）项</w:t>
            </w:r>
          </w:p>
        </w:tc>
      </w:tr>
      <w:tr>
        <w:tblPrEx>
          <w:tblCellMar>
            <w:top w:w="0" w:type="dxa"/>
            <w:left w:w="0" w:type="dxa"/>
            <w:bottom w:w="0" w:type="dxa"/>
            <w:right w:w="0" w:type="dxa"/>
          </w:tblCellMar>
        </w:tblPrEx>
        <w:trPr>
          <w:trHeight w:val="270"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信息内容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上一年项目数量</w:t>
            </w:r>
          </w:p>
        </w:tc>
        <w:tc>
          <w:tcPr>
            <w:tcW w:w="0" w:type="auto"/>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本年增/减</w:t>
            </w:r>
          </w:p>
        </w:tc>
      </w:tr>
      <w:tr>
        <w:tblPrEx>
          <w:tblCellMar>
            <w:top w:w="0" w:type="dxa"/>
            <w:left w:w="0" w:type="dxa"/>
            <w:bottom w:w="0" w:type="dxa"/>
            <w:right w:w="0" w:type="dxa"/>
          </w:tblCellMar>
        </w:tblPrEx>
        <w:trPr>
          <w:trHeight w:val="551"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行政事业性收费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 </w:t>
            </w:r>
          </w:p>
        </w:tc>
      </w:tr>
      <w:tr>
        <w:tblPrEx>
          <w:tblCellMar>
            <w:top w:w="0" w:type="dxa"/>
            <w:left w:w="0" w:type="dxa"/>
            <w:bottom w:w="0" w:type="dxa"/>
            <w:right w:w="0" w:type="dxa"/>
          </w:tblCellMar>
        </w:tblPrEx>
        <w:trPr>
          <w:trHeight w:val="476"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第二十条第（九）项</w:t>
            </w:r>
          </w:p>
        </w:tc>
      </w:tr>
      <w:tr>
        <w:tblPrEx>
          <w:tblCellMar>
            <w:top w:w="0" w:type="dxa"/>
            <w:left w:w="0" w:type="dxa"/>
            <w:bottom w:w="0" w:type="dxa"/>
            <w:right w:w="0" w:type="dxa"/>
          </w:tblCellMar>
        </w:tblPrEx>
        <w:trPr>
          <w:trHeight w:val="585"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信息内容</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采购项目数量</w:t>
            </w:r>
          </w:p>
        </w:tc>
        <w:tc>
          <w:tcPr>
            <w:tcW w:w="0" w:type="auto"/>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采购总金额</w:t>
            </w:r>
          </w:p>
        </w:tc>
      </w:tr>
      <w:tr>
        <w:tblPrEx>
          <w:tblCellMar>
            <w:top w:w="0" w:type="dxa"/>
            <w:left w:w="0" w:type="dxa"/>
            <w:bottom w:w="0" w:type="dxa"/>
            <w:right w:w="0" w:type="dxa"/>
          </w:tblCellMar>
        </w:tblPrEx>
        <w:trPr>
          <w:trHeight w:val="539"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color w:val="000000"/>
                <w:kern w:val="0"/>
                <w:sz w:val="24"/>
                <w:szCs w:val="24"/>
              </w:rPr>
              <w:t>政府集中采购</w:t>
            </w:r>
          </w:p>
        </w:tc>
        <w:tc>
          <w:tcPr>
            <w:tcW w:w="0" w:type="auto"/>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color w:val="000000"/>
                <w:kern w:val="0"/>
                <w:sz w:val="24"/>
                <w:szCs w:val="24"/>
              </w:rPr>
              <w:t>　</w:t>
            </w:r>
            <w:r>
              <w:rPr>
                <w:rFonts w:hint="eastAsia" w:ascii="仿宋_GB2312" w:hAnsi="宋体" w:cs="宋体"/>
                <w:color w:val="000000"/>
                <w:kern w:val="0"/>
                <w:sz w:val="24"/>
                <w:szCs w:val="24"/>
                <w:lang w:val="en-US" w:eastAsia="zh-CN"/>
              </w:rPr>
              <w:t>0</w:t>
            </w:r>
          </w:p>
        </w:tc>
        <w:tc>
          <w:tcPr>
            <w:tcW w:w="0" w:type="auto"/>
            <w:gridSpan w:val="2"/>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kern w:val="0"/>
                <w:sz w:val="24"/>
                <w:szCs w:val="24"/>
                <w:lang w:val="en-US" w:eastAsia="zh-CN"/>
              </w:rPr>
              <w:t>0</w:t>
            </w:r>
          </w:p>
        </w:tc>
      </w:tr>
    </w:tbl>
    <w:p>
      <w:pPr>
        <w:widowControl/>
        <w:shd w:val="clear" w:color="auto" w:fill="FFFFFF"/>
        <w:spacing w:after="240" w:line="560" w:lineRule="exact"/>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5"/>
        <w:tblW w:w="0" w:type="auto"/>
        <w:jc w:val="center"/>
        <w:tblLayout w:type="autofit"/>
        <w:tblCellMar>
          <w:top w:w="0" w:type="dxa"/>
          <w:left w:w="0" w:type="dxa"/>
          <w:bottom w:w="0" w:type="dxa"/>
          <w:right w:w="0" w:type="dxa"/>
        </w:tblCellMar>
      </w:tblPr>
      <w:tblGrid>
        <w:gridCol w:w="1124"/>
        <w:gridCol w:w="1200"/>
        <w:gridCol w:w="1784"/>
        <w:gridCol w:w="578"/>
        <w:gridCol w:w="639"/>
        <w:gridCol w:w="639"/>
        <w:gridCol w:w="762"/>
        <w:gridCol w:w="762"/>
        <w:gridCol w:w="517"/>
        <w:gridCol w:w="517"/>
      </w:tblGrid>
      <w:tr>
        <w:tblPrEx>
          <w:tblCellMar>
            <w:top w:w="0" w:type="dxa"/>
            <w:left w:w="0" w:type="dxa"/>
            <w:bottom w:w="0" w:type="dxa"/>
            <w:right w:w="0" w:type="dxa"/>
          </w:tblCellMar>
        </w:tblPrEx>
        <w:trPr>
          <w:jc w:val="center"/>
        </w:trPr>
        <w:tc>
          <w:tcPr>
            <w:tcW w:w="0" w:type="auto"/>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自然人</w:t>
            </w:r>
          </w:p>
        </w:tc>
        <w:tc>
          <w:tcPr>
            <w:tcW w:w="0" w:type="auto"/>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法人或其他组织</w:t>
            </w: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商业企业</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科研机构</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社会公益组织</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法律服务机构</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r>
      <w:tr>
        <w:tblPrEx>
          <w:tblCellMar>
            <w:top w:w="0" w:type="dxa"/>
            <w:left w:w="0" w:type="dxa"/>
            <w:bottom w:w="0" w:type="dxa"/>
            <w:right w:w="0" w:type="dxa"/>
          </w:tblCellMar>
        </w:tblPrEx>
        <w:trPr>
          <w:jc w:val="center"/>
        </w:trPr>
        <w:tc>
          <w:tcPr>
            <w:tcW w:w="0" w:type="auto"/>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kern w:val="0"/>
                <w:sz w:val="24"/>
                <w:szCs w:val="24"/>
              </w:rPr>
              <w:t>一、本年新收政府信息公开申请数量</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kern w:val="0"/>
                <w:sz w:val="24"/>
                <w:szCs w:val="24"/>
              </w:rPr>
              <w:t>二、上年结转政府信息公开申请数量</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三、本年度办理结果</w:t>
            </w:r>
          </w:p>
        </w:tc>
        <w:tc>
          <w:tcPr>
            <w:tcW w:w="0" w:type="auto"/>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（一）予以公开</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（二）部分公开（区分处理的，只计这一情形，不计其他情形）</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（三）不予公开</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1.属于国家秘密</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2.其他法律行政法规禁止公开</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3.危及“三安全一稳定”</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4.保护第三方合法权益</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5.属于三类内部事务信息</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6.属于四类过程性信息</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trHeight w:val="665" w:hRule="atLeas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7.属于行政执法案卷</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trHeight w:val="659" w:hRule="atLeas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8.属于行政查询事项</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（四）无法提供</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1.本机关不掌握相关政府信息</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2.没有现成信息需要另行制作</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3.补正后申请内容仍不明确</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（五）不予处理</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1.信访举报投诉类申请</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2.重复申请</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3.要求提供公开出版物</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4.无正当理由大量反复申请</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5.要求行政机关确认或重新出具已获取信息</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（六）其他处理</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楷体" w:cs="宋体"/>
                <w:kern w:val="0"/>
                <w:sz w:val="24"/>
                <w:szCs w:val="24"/>
              </w:rPr>
              <w:t>（七）总计</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r>
              <w:rPr>
                <w:rFonts w:hint="eastAsia" w:ascii="仿宋_GB2312" w:hAnsi="宋体" w:cs="宋体"/>
                <w:kern w:val="0"/>
                <w:sz w:val="24"/>
                <w:szCs w:val="24"/>
              </w:rPr>
              <w:t>四、结转下年度继续办理</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kern w:val="0"/>
                <w:sz w:val="24"/>
                <w:szCs w:val="24"/>
                <w:lang w:val="en-US" w:eastAsia="zh-CN"/>
              </w:rPr>
              <w:t>0</w:t>
            </w:r>
          </w:p>
        </w:tc>
      </w:tr>
    </w:tbl>
    <w:p>
      <w:pPr>
        <w:widowControl/>
        <w:shd w:val="clear" w:color="auto" w:fill="FFFFFF"/>
        <w:spacing w:line="560" w:lineRule="exact"/>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tbl>
      <w:tblPr>
        <w:tblStyle w:val="5"/>
        <w:tblW w:w="0" w:type="auto"/>
        <w:jc w:val="center"/>
        <w:tblLayout w:type="autofit"/>
        <w:tblCellMar>
          <w:top w:w="0" w:type="dxa"/>
          <w:left w:w="0" w:type="dxa"/>
          <w:bottom w:w="0" w:type="dxa"/>
          <w:right w:w="0" w:type="dxa"/>
        </w:tblCellMar>
      </w:tblPr>
      <w:tblGrid>
        <w:gridCol w:w="507"/>
        <w:gridCol w:w="508"/>
        <w:gridCol w:w="508"/>
        <w:gridCol w:w="508"/>
        <w:gridCol w:w="473"/>
        <w:gridCol w:w="620"/>
        <w:gridCol w:w="620"/>
        <w:gridCol w:w="620"/>
        <w:gridCol w:w="620"/>
        <w:gridCol w:w="585"/>
        <w:gridCol w:w="620"/>
        <w:gridCol w:w="620"/>
        <w:gridCol w:w="620"/>
        <w:gridCol w:w="620"/>
        <w:gridCol w:w="473"/>
      </w:tblGrid>
      <w:tr>
        <w:tblPrEx>
          <w:tblCellMar>
            <w:top w:w="0" w:type="dxa"/>
            <w:left w:w="0" w:type="dxa"/>
            <w:bottom w:w="0" w:type="dxa"/>
            <w:right w:w="0" w:type="dxa"/>
          </w:tblCellMar>
        </w:tblPrEx>
        <w:trPr>
          <w:jc w:val="center"/>
        </w:trPr>
        <w:tc>
          <w:tcPr>
            <w:tcW w:w="0" w:type="auto"/>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行政复议</w:t>
            </w:r>
          </w:p>
        </w:tc>
        <w:tc>
          <w:tcPr>
            <w:tcW w:w="0" w:type="auto"/>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行政诉讼</w:t>
            </w:r>
          </w:p>
        </w:tc>
      </w:tr>
      <w:tr>
        <w:tblPrEx>
          <w:tblCellMar>
            <w:top w:w="0" w:type="dxa"/>
            <w:left w:w="0" w:type="dxa"/>
            <w:bottom w:w="0" w:type="dxa"/>
            <w:right w:w="0" w:type="dxa"/>
          </w:tblCellMar>
        </w:tblPrEx>
        <w:trPr>
          <w:jc w:val="center"/>
        </w:trPr>
        <w:tc>
          <w:tcPr>
            <w:tcW w:w="0" w:type="auto"/>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结果维持</w:t>
            </w:r>
          </w:p>
        </w:tc>
        <w:tc>
          <w:tcPr>
            <w:tcW w:w="0" w:type="auto"/>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结果纠正</w:t>
            </w: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其他结果</w:t>
            </w: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尚未审结</w:t>
            </w:r>
          </w:p>
        </w:tc>
        <w:tc>
          <w:tcPr>
            <w:tcW w:w="0" w:type="auto"/>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总计</w:t>
            </w:r>
          </w:p>
        </w:tc>
        <w:tc>
          <w:tcPr>
            <w:tcW w:w="0" w:type="auto"/>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未经复议直接起诉</w:t>
            </w:r>
          </w:p>
        </w:tc>
        <w:tc>
          <w:tcPr>
            <w:tcW w:w="0" w:type="auto"/>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kern w:val="0"/>
                <w:sz w:val="24"/>
                <w:szCs w:val="24"/>
              </w:rPr>
            </w:pP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结果维持</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结果纠正</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其他结果</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尚未审结</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总计</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结果维持</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结果纠正</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其他结果</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kern w:val="0"/>
                <w:sz w:val="24"/>
                <w:szCs w:val="24"/>
              </w:rPr>
              <w:t>尚未审结</w:t>
            </w:r>
          </w:p>
        </w:tc>
        <w:tc>
          <w:tcPr>
            <w:tcW w:w="0" w:type="auto"/>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仿宋_GB2312" w:hAnsi="宋体" w:cs="宋体"/>
                <w:color w:val="000000"/>
                <w:kern w:val="0"/>
                <w:sz w:val="24"/>
                <w:szCs w:val="24"/>
              </w:rPr>
              <w:t>总计</w:t>
            </w:r>
          </w:p>
        </w:tc>
      </w:tr>
      <w:tr>
        <w:tblPrEx>
          <w:tblCellMar>
            <w:top w:w="0" w:type="dxa"/>
            <w:left w:w="0" w:type="dxa"/>
            <w:bottom w:w="0" w:type="dxa"/>
            <w:right w:w="0" w:type="dxa"/>
          </w:tblCellMar>
        </w:tblPrEx>
        <w:trPr>
          <w:trHeight w:val="658" w:hRule="atLeast"/>
          <w:jc w:val="center"/>
        </w:trPr>
        <w:tc>
          <w:tcPr>
            <w:tcW w:w="0" w:type="auto"/>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cs="宋体"/>
                <w:kern w:val="0"/>
                <w:sz w:val="24"/>
                <w:szCs w:val="24"/>
                <w:lang w:val="en-US" w:eastAsia="zh-CN"/>
              </w:rPr>
              <w:t>0</w:t>
            </w:r>
            <w:r>
              <w:rPr>
                <w:rFonts w:hint="eastAsia"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cs="宋体"/>
                <w:kern w:val="0"/>
                <w:sz w:val="24"/>
                <w:szCs w:val="24"/>
              </w:rPr>
              <w:t> </w:t>
            </w:r>
            <w:r>
              <w:rPr>
                <w:rFonts w:hint="eastAsia" w:cs="宋体"/>
                <w:kern w:val="0"/>
                <w:sz w:val="24"/>
                <w:szCs w:val="24"/>
                <w:lang w:val="en-US" w:eastAsia="zh-CN"/>
              </w:rPr>
              <w:t>0</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ascii="宋体" w:hAnsi="宋体" w:cs="宋体"/>
                <w:kern w:val="0"/>
                <w:sz w:val="24"/>
                <w:szCs w:val="24"/>
              </w:rPr>
              <w:t> </w:t>
            </w:r>
            <w:r>
              <w:rPr>
                <w:rFonts w:hint="eastAsia" w:ascii="宋体" w:hAnsi="宋体" w:cs="宋体"/>
                <w:kern w:val="0"/>
                <w:sz w:val="24"/>
                <w:szCs w:val="24"/>
                <w:lang w:val="en-US" w:eastAsia="zh-CN"/>
              </w:rPr>
              <w:t>0</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kern w:val="0"/>
                <w:sz w:val="24"/>
                <w:szCs w:val="24"/>
                <w:lang w:val="en-US" w:eastAsia="zh-CN"/>
              </w:rPr>
              <w:t>0</w:t>
            </w:r>
            <w:r>
              <w:rPr>
                <w:rFonts w:hint="eastAsia" w:ascii="宋体" w:hAnsi="宋体"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kern w:val="0"/>
                <w:sz w:val="24"/>
                <w:szCs w:val="24"/>
                <w:lang w:val="en-US" w:eastAsia="zh-CN"/>
              </w:rPr>
              <w:t>0</w:t>
            </w:r>
            <w:r>
              <w:rPr>
                <w:rFonts w:hint="eastAsia" w:ascii="宋体" w:hAnsi="宋体"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ascii="宋体" w:hAnsi="宋体" w:cs="宋体"/>
                <w:kern w:val="0"/>
                <w:sz w:val="24"/>
                <w:szCs w:val="24"/>
              </w:rPr>
              <w:t> </w:t>
            </w:r>
            <w:r>
              <w:rPr>
                <w:rFonts w:hint="eastAsia" w:ascii="宋体" w:hAnsi="宋体" w:cs="宋体"/>
                <w:kern w:val="0"/>
                <w:sz w:val="24"/>
                <w:szCs w:val="24"/>
                <w:lang w:val="en-US" w:eastAsia="zh-CN"/>
              </w:rPr>
              <w:t>0</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eastAsiaTheme="minorEastAsia"/>
                <w:kern w:val="0"/>
                <w:sz w:val="24"/>
                <w:szCs w:val="24"/>
                <w:lang w:val="en-US" w:eastAsia="zh-CN"/>
              </w:rPr>
            </w:pPr>
            <w:r>
              <w:rPr>
                <w:rFonts w:hint="eastAsia" w:ascii="宋体" w:hAnsi="宋体" w:cs="宋体"/>
                <w:kern w:val="0"/>
                <w:sz w:val="24"/>
                <w:szCs w:val="24"/>
              </w:rPr>
              <w:t> </w:t>
            </w:r>
            <w:r>
              <w:rPr>
                <w:rFonts w:hint="eastAsia" w:ascii="宋体" w:hAnsi="宋体" w:cs="宋体"/>
                <w:kern w:val="0"/>
                <w:sz w:val="24"/>
                <w:szCs w:val="24"/>
                <w:lang w:val="en-US" w:eastAsia="zh-CN"/>
              </w:rPr>
              <w:t>0</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kern w:val="0"/>
                <w:sz w:val="24"/>
                <w:szCs w:val="24"/>
                <w:lang w:val="en-US" w:eastAsia="zh-CN"/>
              </w:rPr>
              <w:t>0</w:t>
            </w:r>
            <w:r>
              <w:rPr>
                <w:rFonts w:hint="eastAsia" w:ascii="宋体" w:hAnsi="宋体"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宋体" w:cs="宋体"/>
                <w:kern w:val="0"/>
                <w:sz w:val="24"/>
                <w:szCs w:val="24"/>
              </w:rPr>
            </w:pPr>
            <w:r>
              <w:rPr>
                <w:rFonts w:hint="eastAsia" w:ascii="宋体" w:hAnsi="宋体" w:cs="宋体"/>
                <w:kern w:val="0"/>
                <w:sz w:val="24"/>
                <w:szCs w:val="24"/>
                <w:lang w:val="en-US" w:eastAsia="zh-CN"/>
              </w:rPr>
              <w:t>0</w:t>
            </w:r>
            <w:r>
              <w:rPr>
                <w:rFonts w:hint="eastAsia" w:ascii="宋体" w:hAnsi="宋体" w:cs="宋体"/>
                <w:kern w:val="0"/>
                <w:sz w:val="24"/>
                <w:szCs w:val="24"/>
              </w:rPr>
              <w:t> </w:t>
            </w:r>
          </w:p>
        </w:tc>
        <w:tc>
          <w:tcPr>
            <w:tcW w:w="0" w:type="auto"/>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宋体" w:cs="宋体" w:eastAsiaTheme="minorEastAsia"/>
                <w:kern w:val="0"/>
                <w:sz w:val="24"/>
                <w:szCs w:val="24"/>
                <w:lang w:val="en-US" w:eastAsia="zh-CN"/>
              </w:rPr>
            </w:pPr>
            <w:r>
              <w:rPr>
                <w:rFonts w:hint="eastAsia" w:ascii="仿宋_GB2312" w:hAnsi="宋体" w:cs="宋体"/>
                <w:kern w:val="0"/>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fill="FFFFFF"/>
          <w:lang w:eastAsia="zh-CN"/>
        </w:rPr>
        <w:t>五</w:t>
      </w:r>
      <w:r>
        <w:rPr>
          <w:rFonts w:hint="eastAsia" w:ascii="黑体" w:hAnsi="黑体" w:eastAsia="黑体" w:cs="黑体"/>
          <w:b w:val="0"/>
          <w:i w:val="0"/>
          <w:caps w:val="0"/>
          <w:color w:val="333333"/>
          <w:spacing w:val="0"/>
          <w:sz w:val="32"/>
          <w:szCs w:val="32"/>
          <w:shd w:val="clear" w:fill="FFFFFF"/>
        </w:rPr>
        <w:t>、政府信息公开工作存在的主要问题及改进措施</w:t>
      </w:r>
      <w:r>
        <w:rPr>
          <w:rFonts w:hint="eastAsia" w:ascii="仿宋_GB2312" w:hAnsi="仿宋_GB2312" w:eastAsia="仿宋_GB2312" w:cs="仿宋_GB2312"/>
          <w:b w:val="0"/>
          <w:i w:val="0"/>
          <w:caps w:val="0"/>
          <w:color w:val="333333"/>
          <w:spacing w:val="0"/>
          <w:sz w:val="32"/>
          <w:szCs w:val="32"/>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rPr>
      </w:pPr>
      <w:r>
        <w:rPr>
          <w:rFonts w:hint="eastAsia" w:ascii="楷体_GB2312" w:hAnsi="楷体_GB2312" w:eastAsia="楷体_GB2312" w:cs="楷体_GB2312"/>
          <w:b w:val="0"/>
          <w:i w:val="0"/>
          <w:caps w:val="0"/>
          <w:color w:val="333333"/>
          <w:spacing w:val="0"/>
          <w:sz w:val="32"/>
          <w:szCs w:val="32"/>
          <w:shd w:val="clear" w:fill="FFFFFF"/>
        </w:rPr>
        <w:t>（一）201</w:t>
      </w:r>
      <w:r>
        <w:rPr>
          <w:rFonts w:hint="eastAsia" w:ascii="楷体_GB2312" w:hAnsi="楷体_GB2312" w:eastAsia="楷体_GB2312" w:cs="楷体_GB2312"/>
          <w:b w:val="0"/>
          <w:i w:val="0"/>
          <w:caps w:val="0"/>
          <w:color w:val="333333"/>
          <w:spacing w:val="0"/>
          <w:sz w:val="32"/>
          <w:szCs w:val="32"/>
          <w:shd w:val="clear" w:fill="FFFFFF"/>
          <w:lang w:val="en-US" w:eastAsia="zh-CN"/>
        </w:rPr>
        <w:t>9</w:t>
      </w:r>
      <w:r>
        <w:rPr>
          <w:rFonts w:hint="eastAsia" w:ascii="楷体_GB2312" w:hAnsi="楷体_GB2312" w:eastAsia="楷体_GB2312" w:cs="楷体_GB2312"/>
          <w:b w:val="0"/>
          <w:i w:val="0"/>
          <w:caps w:val="0"/>
          <w:color w:val="333333"/>
          <w:spacing w:val="0"/>
          <w:sz w:val="32"/>
          <w:szCs w:val="32"/>
          <w:shd w:val="clear" w:fill="FFFFFF"/>
        </w:rPr>
        <w:t>年，我</w:t>
      </w:r>
      <w:r>
        <w:rPr>
          <w:rFonts w:hint="eastAsia" w:ascii="楷体_GB2312" w:hAnsi="楷体_GB2312" w:eastAsia="楷体_GB2312" w:cs="楷体_GB2312"/>
          <w:b w:val="0"/>
          <w:i w:val="0"/>
          <w:caps w:val="0"/>
          <w:color w:val="333333"/>
          <w:spacing w:val="0"/>
          <w:sz w:val="32"/>
          <w:szCs w:val="32"/>
          <w:shd w:val="clear" w:fill="FFFFFF"/>
          <w:lang w:eastAsia="zh-CN"/>
        </w:rPr>
        <w:t>中心</w:t>
      </w:r>
      <w:r>
        <w:rPr>
          <w:rFonts w:hint="eastAsia" w:ascii="楷体_GB2312" w:hAnsi="楷体_GB2312" w:eastAsia="楷体_GB2312" w:cs="楷体_GB2312"/>
          <w:b w:val="0"/>
          <w:i w:val="0"/>
          <w:caps w:val="0"/>
          <w:color w:val="333333"/>
          <w:spacing w:val="0"/>
          <w:sz w:val="32"/>
          <w:szCs w:val="32"/>
          <w:shd w:val="clear" w:fill="FFFFFF"/>
        </w:rPr>
        <w:t>政府信息公开工作主要问题</w:t>
      </w:r>
      <w:r>
        <w:rPr>
          <w:rFonts w:hint="eastAsia" w:ascii="楷体_GB2312" w:hAnsi="楷体_GB2312" w:eastAsia="楷体_GB2312" w:cs="楷体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lang w:val="en-US" w:eastAsia="zh-CN"/>
        </w:rPr>
        <w:t>对政府信息的</w:t>
      </w:r>
      <w:r>
        <w:rPr>
          <w:rFonts w:hint="eastAsia" w:ascii="仿宋_GB2312" w:hAnsi="仿宋_GB2312" w:eastAsia="仿宋_GB2312" w:cs="仿宋_GB2312"/>
          <w:b w:val="0"/>
          <w:i w:val="0"/>
          <w:caps w:val="0"/>
          <w:color w:val="333333"/>
          <w:spacing w:val="0"/>
          <w:sz w:val="32"/>
          <w:szCs w:val="32"/>
          <w:shd w:val="clear" w:fill="FFFFFF"/>
        </w:rPr>
        <w:t>未确定性或无需公众知晓性</w:t>
      </w:r>
      <w:r>
        <w:rPr>
          <w:rFonts w:hint="eastAsia" w:ascii="仿宋_GB2312" w:hAnsi="仿宋_GB2312" w:eastAsia="仿宋_GB2312" w:cs="仿宋_GB2312"/>
          <w:b w:val="0"/>
          <w:i w:val="0"/>
          <w:caps w:val="0"/>
          <w:color w:val="333333"/>
          <w:spacing w:val="0"/>
          <w:sz w:val="32"/>
          <w:szCs w:val="32"/>
          <w:shd w:val="clear" w:fill="FFFFFF"/>
          <w:lang w:val="en-US" w:eastAsia="zh-CN"/>
        </w:rPr>
        <w:t>预审和认定法律知识不足，在</w:t>
      </w:r>
      <w:r>
        <w:rPr>
          <w:rFonts w:hint="eastAsia" w:ascii="仿宋_GB2312" w:hAnsi="仿宋_GB2312" w:eastAsia="仿宋_GB2312" w:cs="仿宋_GB2312"/>
          <w:b w:val="0"/>
          <w:i w:val="0"/>
          <w:caps w:val="0"/>
          <w:color w:val="333333"/>
          <w:spacing w:val="0"/>
          <w:sz w:val="32"/>
          <w:szCs w:val="32"/>
          <w:shd w:val="clear" w:fill="FFFFFF"/>
        </w:rPr>
        <w:t>“中国乐清”</w:t>
      </w:r>
      <w:r>
        <w:rPr>
          <w:rFonts w:hint="eastAsia" w:ascii="仿宋_GB2312" w:hAnsi="仿宋_GB2312" w:eastAsia="仿宋_GB2312" w:cs="仿宋_GB2312"/>
          <w:b w:val="0"/>
          <w:i w:val="0"/>
          <w:caps w:val="0"/>
          <w:color w:val="333333"/>
          <w:spacing w:val="0"/>
          <w:sz w:val="32"/>
          <w:szCs w:val="32"/>
          <w:shd w:val="clear" w:fill="FFFFFF"/>
          <w:lang w:eastAsia="zh-CN"/>
        </w:rPr>
        <w:t>发布公开内容时存在放错栏目现象，</w:t>
      </w:r>
      <w:r>
        <w:rPr>
          <w:rFonts w:hint="eastAsia" w:ascii="仿宋_GB2312" w:hAnsi="仿宋_GB2312" w:eastAsia="仿宋_GB2312" w:cs="仿宋_GB2312"/>
          <w:b w:val="0"/>
          <w:i w:val="0"/>
          <w:caps w:val="0"/>
          <w:color w:val="333333"/>
          <w:spacing w:val="0"/>
          <w:sz w:val="32"/>
          <w:szCs w:val="32"/>
          <w:shd w:val="clear" w:fill="FFFFFF"/>
          <w:lang w:val="en-US" w:eastAsia="zh-CN"/>
        </w:rPr>
        <w:t>相关人员业务水平有待进一步提高</w:t>
      </w:r>
      <w:r>
        <w:rPr>
          <w:rFonts w:hint="eastAsia" w:ascii="仿宋_GB2312" w:hAnsi="仿宋_GB2312" w:eastAsia="仿宋_GB2312" w:cs="仿宋_GB2312"/>
          <w:b w:val="0"/>
          <w:i w:val="0"/>
          <w:caps w:val="0"/>
          <w:color w:val="333333"/>
          <w:spacing w:val="0"/>
          <w:sz w:val="32"/>
          <w:szCs w:val="32"/>
          <w:shd w:val="clear" w:fill="FFFFFF"/>
        </w:rPr>
        <w:t>。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b w:val="0"/>
          <w:i w:val="0"/>
          <w:caps w:val="0"/>
          <w:color w:val="333333"/>
          <w:spacing w:val="0"/>
          <w:sz w:val="32"/>
          <w:szCs w:val="32"/>
          <w:shd w:val="clear" w:fill="FFFFFF"/>
        </w:rPr>
      </w:pPr>
      <w:r>
        <w:rPr>
          <w:rFonts w:hint="eastAsia" w:ascii="楷体_GB2312" w:hAnsi="楷体_GB2312" w:eastAsia="楷体_GB2312" w:cs="楷体_GB2312"/>
          <w:b w:val="0"/>
          <w:i w:val="0"/>
          <w:caps w:val="0"/>
          <w:color w:val="333333"/>
          <w:spacing w:val="0"/>
          <w:sz w:val="32"/>
          <w:szCs w:val="32"/>
          <w:shd w:val="clear" w:fill="FFFFFF"/>
        </w:rPr>
        <w:t>今后政府信息公开工作改进措施</w:t>
      </w:r>
      <w:r>
        <w:rPr>
          <w:rFonts w:hint="eastAsia" w:ascii="楷体_GB2312" w:hAnsi="楷体_GB2312" w:eastAsia="楷体_GB2312" w:cs="楷体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lang w:val="en-US" w:eastAsia="zh-CN"/>
        </w:rPr>
        <w:t>加强学习，提高认识，提高工作人员对政府信息的预审认定业务水平，</w:t>
      </w:r>
      <w:r>
        <w:rPr>
          <w:rFonts w:hint="eastAsia" w:ascii="仿宋_GB2312" w:hAnsi="仿宋_GB2312" w:eastAsia="仿宋_GB2312" w:cs="仿宋_GB2312"/>
          <w:b w:val="0"/>
          <w:i w:val="0"/>
          <w:caps w:val="0"/>
          <w:color w:val="333333"/>
          <w:spacing w:val="0"/>
          <w:sz w:val="32"/>
          <w:szCs w:val="32"/>
          <w:shd w:val="clear" w:fill="FFFFFF"/>
        </w:rPr>
        <w:t>进一步提高信息公开质量，加大政府信息主动公开力度，保障公民的知情权、参与权、表达权、监督权，促进依法行政。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黑体" w:hAnsi="黑体" w:eastAsia="黑体" w:cs="黑体"/>
          <w:b w:val="0"/>
          <w:i w:val="0"/>
          <w:caps w:val="0"/>
          <w:color w:val="333333"/>
          <w:spacing w:val="0"/>
          <w:sz w:val="32"/>
          <w:szCs w:val="32"/>
          <w:shd w:val="clear" w:fill="FFFFFF"/>
          <w:lang w:val="en-US" w:eastAsia="zh-CN"/>
        </w:rPr>
      </w:pPr>
      <w:r>
        <w:rPr>
          <w:rFonts w:hint="eastAsia" w:ascii="黑体" w:hAnsi="黑体" w:eastAsia="黑体" w:cs="黑体"/>
          <w:b w:val="0"/>
          <w:i w:val="0"/>
          <w:caps w:val="0"/>
          <w:color w:val="333333"/>
          <w:spacing w:val="0"/>
          <w:sz w:val="32"/>
          <w:szCs w:val="32"/>
          <w:shd w:val="clear" w:fill="FFFFFF"/>
          <w:lang w:val="en-US" w:eastAsia="zh-CN"/>
        </w:rPr>
        <w:t>其他需要报告事项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left"/>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黑体" w:hAnsi="黑体" w:eastAsia="黑体" w:cs="黑体"/>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lang w:val="en-US" w:eastAsia="zh-CN"/>
        </w:rPr>
        <w:t>乐清市旅游和体育事业发展中心无其他报告事项。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left"/>
        <w:rPr>
          <w:rFonts w:hint="eastAsia" w:ascii="仿宋_GB2312" w:hAnsi="仿宋_GB2312" w:eastAsia="仿宋_GB2312" w:cs="仿宋_GB2312"/>
          <w:b w:val="0"/>
          <w:i w:val="0"/>
          <w:caps w:val="0"/>
          <w:color w:val="333333"/>
          <w:spacing w:val="0"/>
          <w:sz w:val="32"/>
          <w:szCs w:val="32"/>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left"/>
        <w:rPr>
          <w:rFonts w:hint="eastAsia" w:ascii="仿宋_GB2312" w:hAnsi="仿宋_GB2312" w:eastAsia="仿宋_GB2312" w:cs="仿宋_GB2312"/>
          <w:b w:val="0"/>
          <w:i w:val="0"/>
          <w:caps w:val="0"/>
          <w:color w:val="333333"/>
          <w:spacing w:val="0"/>
          <w:sz w:val="32"/>
          <w:szCs w:val="32"/>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right"/>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lang w:val="en-US" w:eastAsia="zh-CN"/>
        </w:rPr>
        <w:t>乐清市旅游和体育事业发展中心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Chars="200" w:right="0" w:rightChars="0"/>
        <w:jc w:val="right"/>
        <w:rPr>
          <w:rFonts w:hint="default"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lang w:val="en-US" w:eastAsia="zh-CN"/>
        </w:rPr>
        <w:t xml:space="preserve">2020年1月10号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67E03"/>
    <w:multiLevelType w:val="singleLevel"/>
    <w:tmpl w:val="9E367E03"/>
    <w:lvl w:ilvl="0" w:tentative="0">
      <w:start w:val="6"/>
      <w:numFmt w:val="chineseCounting"/>
      <w:suff w:val="nothing"/>
      <w:lvlText w:val="%1、"/>
      <w:lvlJc w:val="left"/>
      <w:rPr>
        <w:rFonts w:hint="eastAsia"/>
      </w:rPr>
    </w:lvl>
  </w:abstractNum>
  <w:abstractNum w:abstractNumId="1">
    <w:nsid w:val="71EEA4C2"/>
    <w:multiLevelType w:val="singleLevel"/>
    <w:tmpl w:val="71EEA4C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4BBE"/>
    <w:rsid w:val="031A4BBE"/>
    <w:rsid w:val="085C0D01"/>
    <w:rsid w:val="0A2571D6"/>
    <w:rsid w:val="0D911E05"/>
    <w:rsid w:val="21A558ED"/>
    <w:rsid w:val="24732FFD"/>
    <w:rsid w:val="2CDC7E08"/>
    <w:rsid w:val="2DD141DC"/>
    <w:rsid w:val="35E50E9D"/>
    <w:rsid w:val="379A14C2"/>
    <w:rsid w:val="3CCF00A3"/>
    <w:rsid w:val="59812E69"/>
    <w:rsid w:val="7B2B7B82"/>
    <w:rsid w:val="7C54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2018-01-11T11:13:00Z</dcterms:created>
  <dc:creator>ant</dc:creator>
  <cp:lastModifiedBy>郑爽</cp:lastModifiedBy>
  <dcterms:modified xsi:type="dcterms:W3CDTF">2020-01-15T09:42:12Z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